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483BBC" w14:textId="4ADFFF5E" w:rsidR="00C52B03" w:rsidRPr="00C52B03" w:rsidRDefault="00C52B03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C52B03">
        <w:rPr>
          <w:rFonts w:ascii="Arial" w:hAnsi="Arial" w:cs="Arial"/>
          <w:b/>
          <w:bCs/>
          <w:color w:val="000000" w:themeColor="text1"/>
          <w:sz w:val="22"/>
          <w:szCs w:val="22"/>
        </w:rPr>
        <w:t>The charismatic lecturer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: part 1</w:t>
      </w:r>
      <w:r w:rsidRPr="00C52B0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[blog post]</w:t>
      </w:r>
    </w:p>
    <w:p w14:paraId="428DB532" w14:textId="516D169B" w:rsidR="00C52B03" w:rsidRPr="00C52B03" w:rsidRDefault="00C52B0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5FE624BD" w14:textId="27112D55" w:rsidR="00C52B03" w:rsidRDefault="00C52B03" w:rsidP="00C52B03">
      <w:pPr>
        <w:rPr>
          <w:rFonts w:ascii="Arial" w:hAnsi="Arial" w:cs="Arial"/>
          <w:color w:val="000000" w:themeColor="text1"/>
          <w:sz w:val="22"/>
          <w:szCs w:val="22"/>
        </w:rPr>
      </w:pPr>
      <w:r w:rsidRPr="00C52B03">
        <w:rPr>
          <w:rFonts w:ascii="Arial" w:hAnsi="Arial" w:cs="Arial"/>
          <w:color w:val="000000" w:themeColor="text1"/>
          <w:sz w:val="22"/>
          <w:szCs w:val="22"/>
        </w:rPr>
        <w:t xml:space="preserve">In the first workshop we were given an extract from a Bruce MacFarlane book in the form of a photocopied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piece of </w:t>
      </w:r>
      <w:r w:rsidRPr="00C52B03">
        <w:rPr>
          <w:rFonts w:ascii="Arial" w:hAnsi="Arial" w:cs="Arial"/>
          <w:color w:val="000000" w:themeColor="text1"/>
          <w:sz w:val="22"/>
          <w:szCs w:val="22"/>
        </w:rPr>
        <w:t>A4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paper</w:t>
      </w:r>
      <w:r w:rsidRPr="00C52B03">
        <w:rPr>
          <w:rFonts w:ascii="Arial" w:hAnsi="Arial" w:cs="Arial"/>
          <w:color w:val="000000" w:themeColor="text1"/>
          <w:sz w:val="22"/>
          <w:szCs w:val="22"/>
        </w:rPr>
        <w:t xml:space="preserve">. [Again…] Most likely in my own clumsiness, I have been unable to find the exact source of this extract, which was entitled ‘The charismatic lecturer’; but have enjoyed beginning to get to know a few other works </w:t>
      </w:r>
      <w:r>
        <w:rPr>
          <w:rFonts w:ascii="Arial" w:hAnsi="Arial" w:cs="Arial"/>
          <w:color w:val="000000" w:themeColor="text1"/>
          <w:sz w:val="22"/>
          <w:szCs w:val="22"/>
        </w:rPr>
        <w:t>from</w:t>
      </w:r>
      <w:r w:rsidRPr="00C52B03">
        <w:rPr>
          <w:rFonts w:ascii="Arial" w:hAnsi="Arial" w:cs="Arial"/>
          <w:color w:val="000000" w:themeColor="text1"/>
          <w:sz w:val="22"/>
          <w:szCs w:val="22"/>
        </w:rPr>
        <w:t xml:space="preserve"> MacFarlane’s oeuvre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in the process of trying to find out</w:t>
      </w:r>
      <w:r w:rsidRPr="00C52B03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</w:p>
    <w:p w14:paraId="5E618B66" w14:textId="5F2DA723" w:rsidR="00C52B03" w:rsidRDefault="00C52B03" w:rsidP="00C52B0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571D6CF" w14:textId="431FDE5F" w:rsidR="00C52B03" w:rsidRPr="00C52B03" w:rsidRDefault="00C52B03" w:rsidP="00C52B03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38A2C2F2" wp14:editId="2CEACB34">
            <wp:extent cx="5731510" cy="4055110"/>
            <wp:effectExtent l="0" t="0" r="0" b="0"/>
            <wp:docPr id="2" name="Picture 2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pap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5828F" w14:textId="77777777" w:rsidR="00C52B03" w:rsidRPr="00C52B03" w:rsidRDefault="00C52B03" w:rsidP="00C52B0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169520DE" w14:textId="6BC99EB6" w:rsidR="00C52B03" w:rsidRPr="00C52B03" w:rsidRDefault="00C52B03" w:rsidP="00C52B03">
      <w:pP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en-GB"/>
        </w:rPr>
      </w:pPr>
      <w:r w:rsidRPr="00C52B03">
        <w:rPr>
          <w:rFonts w:ascii="Arial" w:hAnsi="Arial" w:cs="Arial"/>
          <w:color w:val="000000" w:themeColor="text1"/>
          <w:sz w:val="22"/>
          <w:szCs w:val="22"/>
        </w:rPr>
        <w:t xml:space="preserve">My interests are particularly piqued by </w:t>
      </w:r>
      <w:r w:rsidRPr="00C52B03">
        <w:rPr>
          <w:rFonts w:ascii="Arial" w:hAnsi="Arial" w:cs="Arial"/>
          <w:i/>
          <w:iCs/>
          <w:color w:val="000000" w:themeColor="text1"/>
          <w:sz w:val="22"/>
          <w:szCs w:val="22"/>
        </w:rPr>
        <w:t>Freedom to Learn</w:t>
      </w:r>
      <w:r w:rsidRPr="00C52B03">
        <w:rPr>
          <w:rFonts w:ascii="Arial" w:hAnsi="Arial" w:cs="Arial"/>
          <w:color w:val="000000" w:themeColor="text1"/>
          <w:sz w:val="22"/>
          <w:szCs w:val="22"/>
        </w:rPr>
        <w:t xml:space="preserve">, which </w:t>
      </w:r>
      <w:r>
        <w:rPr>
          <w:rFonts w:ascii="Arial" w:hAnsi="Arial" w:cs="Arial"/>
          <w:color w:val="000000" w:themeColor="text1"/>
          <w:sz w:val="22"/>
          <w:szCs w:val="22"/>
        </w:rPr>
        <w:t>is a book looking</w:t>
      </w:r>
      <w:r w:rsidRPr="00C52B03">
        <w:rPr>
          <w:rFonts w:ascii="Arial" w:hAnsi="Arial" w:cs="Arial"/>
          <w:color w:val="000000" w:themeColor="text1"/>
          <w:sz w:val="22"/>
          <w:szCs w:val="22"/>
        </w:rPr>
        <w:t xml:space="preserve"> at the ‘hidden University curriculum’ of ‘</w:t>
      </w:r>
      <w:r w:rsidRPr="00C52B03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en-GB"/>
        </w:rPr>
        <w:t>c</w:t>
      </w:r>
      <w:r w:rsidRPr="00C52B03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en-GB"/>
        </w:rPr>
        <w:t>ompulsory attendance registers, class contribution grading, group project work and reflective learning exercises based on expectations of self-disclosure and confession</w:t>
      </w:r>
      <w:r w:rsidRPr="00C52B03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en-GB"/>
        </w:rPr>
        <w:t>’ that</w:t>
      </w:r>
      <w:r w:rsidRPr="00C52B03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en-GB"/>
        </w:rPr>
        <w:t xml:space="preserve"> </w:t>
      </w:r>
      <w:r w:rsidRPr="00C52B03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en-GB"/>
        </w:rPr>
        <w:t>‘</w:t>
      </w:r>
      <w:r w:rsidRPr="00C52B03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en-GB"/>
        </w:rPr>
        <w:t>take little account of the rights of students or individual differences between them</w:t>
      </w:r>
      <w:r w:rsidRPr="00C52B03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en-GB"/>
        </w:rPr>
        <w:t>’</w:t>
      </w:r>
      <w:r w:rsidRPr="00C52B03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en-GB"/>
        </w:rPr>
        <w:t>.</w:t>
      </w:r>
      <w:r>
        <w:rPr>
          <w:rStyle w:val="FootnoteReference"/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en-GB"/>
        </w:rPr>
        <w:footnoteReference w:id="1"/>
      </w:r>
      <w:r w:rsidRPr="00C52B03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en-GB"/>
        </w:rPr>
        <w:t> </w:t>
      </w:r>
    </w:p>
    <w:p w14:paraId="6A25C92F" w14:textId="46A3F7B3" w:rsidR="00C52B03" w:rsidRPr="00C52B03" w:rsidRDefault="00C52B03" w:rsidP="00C52B03">
      <w:pP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en-GB"/>
        </w:rPr>
      </w:pPr>
    </w:p>
    <w:p w14:paraId="1B626FE3" w14:textId="1FE75D79" w:rsidR="00C52B03" w:rsidRPr="00C52B03" w:rsidRDefault="00C52B03" w:rsidP="00C52B03">
      <w:pP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en-GB"/>
        </w:rPr>
      </w:pPr>
      <w:r w:rsidRPr="00C52B03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en-GB"/>
        </w:rPr>
        <w:t xml:space="preserve">It is cited on the </w:t>
      </w:r>
      <w:proofErr w:type="spellStart"/>
      <w:r w:rsidRPr="00C52B03"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shd w:val="clear" w:color="auto" w:fill="FFFFFF"/>
          <w:lang w:eastAsia="en-GB"/>
        </w:rPr>
        <w:t>AdvancedHE</w:t>
      </w:r>
      <w:proofErr w:type="spellEnd"/>
      <w:r w:rsidRPr="00C52B03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en-GB"/>
        </w:rPr>
        <w:t xml:space="preserve"> profile page of Professor Bruce Macfarlane that he is currently working on a new book for Routledge</w:t>
      </w:r>
      <w: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en-GB"/>
        </w:rPr>
        <w:t>,</w:t>
      </w:r>
      <w:r w:rsidRPr="00C52B03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en-GB"/>
        </w:rPr>
        <w:t xml:space="preserve"> about the freedom to </w:t>
      </w:r>
      <w:r w:rsidRPr="00C52B03"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shd w:val="clear" w:color="auto" w:fill="FFFFFF"/>
          <w:lang w:eastAsia="en-GB"/>
        </w:rPr>
        <w:t>teach</w:t>
      </w:r>
      <w:r w:rsidRPr="00C52B03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en-GB"/>
        </w:rPr>
        <w:t xml:space="preserve"> in Higher Education.</w:t>
      </w:r>
      <w:r>
        <w:rPr>
          <w:rStyle w:val="FootnoteReference"/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en-GB"/>
        </w:rPr>
        <w:footnoteReference w:id="2"/>
      </w:r>
      <w:r w:rsidRPr="00C52B03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en-GB"/>
        </w:rPr>
        <w:t xml:space="preserve"> One can only imagine that this new book might take the form of a similar critique of the overwhelming expectations within the Higher Education sector, and what new forms ‘academic freedom’ might take.</w:t>
      </w:r>
    </w:p>
    <w:p w14:paraId="78626405" w14:textId="71A41969" w:rsidR="00C52B03" w:rsidRPr="00C52B03" w:rsidRDefault="00C52B03" w:rsidP="00C52B03">
      <w:pP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en-GB"/>
        </w:rPr>
      </w:pPr>
    </w:p>
    <w:p w14:paraId="3F6FCC41" w14:textId="3FBCD917" w:rsidR="00C52B03" w:rsidRPr="00C52B03" w:rsidRDefault="00C52B03" w:rsidP="00C52B03">
      <w:pP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en-GB"/>
        </w:rPr>
      </w:pPr>
      <w:r w:rsidRPr="00C52B03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en-GB"/>
        </w:rPr>
        <w:t xml:space="preserve">As of this September (2024), I will have been teaching in Higher Education for 10 years. Even in my relatively short time in the sector, I have witnessed a significant shift in </w:t>
      </w:r>
      <w:r w:rsidRPr="00C52B03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en-GB"/>
        </w:rPr>
        <w:lastRenderedPageBreak/>
        <w:t>expectations relating to planning and individuality — not just in relation to parity for the learners, but for the academics as well.</w:t>
      </w:r>
    </w:p>
    <w:p w14:paraId="4AE12F95" w14:textId="3BEB3402" w:rsidR="00C52B03" w:rsidRPr="00C52B03" w:rsidRDefault="00C52B03" w:rsidP="00C52B03">
      <w:pPr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en-GB"/>
        </w:rPr>
      </w:pPr>
    </w:p>
    <w:p w14:paraId="4936F224" w14:textId="1B2A7DCF" w:rsidR="00C52B03" w:rsidRDefault="00C52B03" w:rsidP="00C52B03">
      <w:pPr>
        <w:rPr>
          <w:rFonts w:ascii="Arial" w:hAnsi="Arial" w:cs="Arial"/>
          <w:color w:val="000000" w:themeColor="text1"/>
          <w:sz w:val="22"/>
          <w:szCs w:val="22"/>
          <w:u w:color="000000"/>
        </w:rPr>
      </w:pPr>
      <w:r w:rsidRPr="00C52B03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en-GB"/>
        </w:rPr>
        <w:t xml:space="preserve">My first serious interest in teaching within higher education stemmed from my understanding of the film </w:t>
      </w:r>
      <w:r w:rsidRPr="00C52B03"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shd w:val="clear" w:color="auto" w:fill="FFFFFF"/>
          <w:lang w:eastAsia="en-GB"/>
        </w:rPr>
        <w:t>Educating Rita</w:t>
      </w:r>
      <w:r w:rsidRPr="00C52B03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en-GB"/>
        </w:rPr>
        <w:t>, by Willy Russell.</w:t>
      </w:r>
      <w:r>
        <w:rPr>
          <w:rStyle w:val="FootnoteReference"/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en-GB"/>
        </w:rPr>
        <w:footnoteReference w:id="3"/>
      </w:r>
      <w:r w:rsidRPr="00C52B03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eastAsia="en-GB"/>
        </w:rPr>
        <w:t xml:space="preserve"> </w:t>
      </w:r>
      <w:r w:rsidRPr="00C52B03">
        <w:rPr>
          <w:rFonts w:ascii="Arial" w:hAnsi="Arial" w:cs="Arial"/>
          <w:i/>
          <w:iCs/>
          <w:color w:val="000000" w:themeColor="text1"/>
          <w:sz w:val="22"/>
          <w:szCs w:val="22"/>
          <w:u w:color="000000"/>
        </w:rPr>
        <w:t>Educating Rita</w:t>
      </w:r>
      <w:r w:rsidRPr="00C52B03">
        <w:rPr>
          <w:rFonts w:ascii="Arial" w:hAnsi="Arial" w:cs="Arial"/>
          <w:color w:val="000000" w:themeColor="text1"/>
          <w:sz w:val="22"/>
          <w:szCs w:val="22"/>
          <w:u w:color="000000"/>
        </w:rPr>
        <w:t xml:space="preserve"> is a two-hander play about a working-class woman who seeks Open University tuition and is assigned a disenchanted literature tutor called Frank. Each of the pair find delight in one another. They coin a somewhat symbiotic relationship. Whilst Frank teaches Rita about literature and academia, Rita too teaches Frank – to look at the world again with her freshness of perception.</w:t>
      </w:r>
      <w:r w:rsidRPr="00C52B03">
        <w:rPr>
          <w:rStyle w:val="FootnoteReference"/>
          <w:rFonts w:ascii="Arial" w:hAnsi="Arial" w:cs="Arial"/>
          <w:color w:val="000000" w:themeColor="text1"/>
          <w:sz w:val="22"/>
          <w:szCs w:val="22"/>
          <w:u w:color="000000"/>
        </w:rPr>
        <w:footnoteReference w:id="4"/>
      </w:r>
      <w:r>
        <w:rPr>
          <w:rFonts w:ascii="Arial" w:hAnsi="Arial" w:cs="Arial"/>
          <w:color w:val="000000" w:themeColor="text1"/>
          <w:sz w:val="22"/>
          <w:szCs w:val="22"/>
          <w:u w:color="000000"/>
        </w:rPr>
        <w:t xml:space="preserve"> I attempted to write about this example of a teaching relationship in my MA thesis (2018), which was later edited and published through the Journal of Illustration (2023). </w:t>
      </w:r>
      <w:r>
        <w:rPr>
          <w:rFonts w:ascii="Arial" w:hAnsi="Arial" w:cs="Arial"/>
          <w:color w:val="000000" w:themeColor="text1"/>
          <w:sz w:val="22"/>
          <w:szCs w:val="22"/>
          <w:u w:color="000000"/>
        </w:rPr>
        <w:br/>
      </w:r>
      <w:r>
        <w:rPr>
          <w:rFonts w:ascii="Arial" w:hAnsi="Arial" w:cs="Arial"/>
          <w:color w:val="000000" w:themeColor="text1"/>
          <w:sz w:val="22"/>
          <w:szCs w:val="22"/>
          <w:u w:color="000000"/>
        </w:rPr>
        <w:br/>
        <w:t xml:space="preserve">Due to the formality of both those documents, I didn’t feel brave enough to plainly say the following: </w:t>
      </w:r>
      <w:r>
        <w:rPr>
          <w:rFonts w:ascii="Arial" w:hAnsi="Arial" w:cs="Arial"/>
          <w:color w:val="000000" w:themeColor="text1"/>
          <w:sz w:val="22"/>
          <w:szCs w:val="22"/>
          <w:u w:color="000000"/>
        </w:rPr>
        <w:t xml:space="preserve">In my opinion, the symbiotic nature of </w:t>
      </w:r>
      <w:r>
        <w:rPr>
          <w:rFonts w:ascii="Arial" w:hAnsi="Arial" w:cs="Arial"/>
          <w:color w:val="000000" w:themeColor="text1"/>
          <w:sz w:val="22"/>
          <w:szCs w:val="22"/>
          <w:u w:color="000000"/>
        </w:rPr>
        <w:t>Frank and Rita’s</w:t>
      </w:r>
      <w:r>
        <w:rPr>
          <w:rFonts w:ascii="Arial" w:hAnsi="Arial" w:cs="Arial"/>
          <w:color w:val="000000" w:themeColor="text1"/>
          <w:sz w:val="22"/>
          <w:szCs w:val="22"/>
          <w:u w:color="000000"/>
        </w:rPr>
        <w:t xml:space="preserve"> relationship is largely made possible through Frank’s flaws </w:t>
      </w:r>
      <w:r>
        <w:rPr>
          <w:rFonts w:ascii="Arial" w:hAnsi="Arial" w:cs="Arial"/>
          <w:color w:val="000000" w:themeColor="text1"/>
          <w:sz w:val="22"/>
          <w:szCs w:val="22"/>
          <w:u w:color="000000"/>
        </w:rPr>
        <w:t xml:space="preserve">and idiosyncrasies </w:t>
      </w:r>
      <w:r>
        <w:rPr>
          <w:rFonts w:ascii="Arial" w:hAnsi="Arial" w:cs="Arial"/>
          <w:color w:val="000000" w:themeColor="text1"/>
          <w:sz w:val="22"/>
          <w:szCs w:val="22"/>
          <w:u w:color="000000"/>
        </w:rPr>
        <w:t>as a teacher — his openness</w:t>
      </w:r>
      <w:r>
        <w:rPr>
          <w:rFonts w:ascii="Arial" w:hAnsi="Arial" w:cs="Arial"/>
          <w:color w:val="000000" w:themeColor="text1"/>
          <w:sz w:val="22"/>
          <w:szCs w:val="22"/>
          <w:u w:color="000000"/>
        </w:rPr>
        <w:t>,</w:t>
      </w:r>
      <w:r>
        <w:rPr>
          <w:rFonts w:ascii="Arial" w:hAnsi="Arial" w:cs="Arial"/>
          <w:color w:val="000000" w:themeColor="text1"/>
          <w:sz w:val="22"/>
          <w:szCs w:val="22"/>
          <w:u w:color="000000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u w:color="000000"/>
        </w:rPr>
        <w:t>and his obvious faults</w:t>
      </w:r>
      <w:r>
        <w:rPr>
          <w:rFonts w:ascii="Arial" w:hAnsi="Arial" w:cs="Arial"/>
          <w:color w:val="000000" w:themeColor="text1"/>
          <w:sz w:val="22"/>
          <w:szCs w:val="22"/>
          <w:u w:color="000000"/>
        </w:rPr>
        <w:t>, in some way, invite Rita to feel that she has something to offer him.</w:t>
      </w:r>
      <w:r>
        <w:rPr>
          <w:rFonts w:ascii="Arial" w:hAnsi="Arial" w:cs="Arial"/>
          <w:color w:val="000000" w:themeColor="text1"/>
          <w:sz w:val="22"/>
          <w:szCs w:val="22"/>
          <w:u w:color="000000"/>
        </w:rPr>
        <w:t xml:space="preserve"> This kind of relationship feels extremely contentious in relation to today’s expectations in the sector, not only due to shifting professional standards, but class sizes and contact-time too.</w:t>
      </w:r>
    </w:p>
    <w:p w14:paraId="1CB11890" w14:textId="77777777" w:rsidR="00C52B03" w:rsidRDefault="00C52B03" w:rsidP="00C52B03">
      <w:pPr>
        <w:rPr>
          <w:rFonts w:ascii="Arial" w:hAnsi="Arial" w:cs="Arial"/>
          <w:color w:val="000000" w:themeColor="text1"/>
          <w:sz w:val="22"/>
          <w:szCs w:val="22"/>
          <w:u w:color="000000"/>
        </w:rPr>
      </w:pPr>
    </w:p>
    <w:p w14:paraId="10A96C18" w14:textId="77777777" w:rsidR="00C52B03" w:rsidRPr="00C52B03" w:rsidRDefault="00C52B03" w:rsidP="00C52B03">
      <w:pPr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</w:pPr>
    </w:p>
    <w:p w14:paraId="6109112C" w14:textId="0A30C071" w:rsidR="00C52B03" w:rsidRDefault="00C52B03">
      <w:pPr>
        <w:rPr>
          <w:rFonts w:ascii="Arial" w:hAnsi="Arial" w:cs="Arial"/>
          <w:color w:val="000000" w:themeColor="text1"/>
          <w:sz w:val="22"/>
          <w:szCs w:val="22"/>
        </w:rPr>
      </w:pPr>
      <w:r w:rsidRPr="00C52B0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C52B03"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4938C213" wp14:editId="0AECDD81">
            <wp:extent cx="4726858" cy="4726858"/>
            <wp:effectExtent l="0" t="0" r="0" b="0"/>
            <wp:docPr id="1" name="Picture 1" descr="A blue notebook with black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notebook with black writing on i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462" cy="476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364DA" w14:textId="75E62459" w:rsidR="00C52B03" w:rsidRDefault="00C52B0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190D6A16" w14:textId="59FF2332" w:rsidR="00C52B03" w:rsidRDefault="00C52B03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However, if we are to relate this idea back to the extract at hand, </w:t>
      </w:r>
      <w:r w:rsidRPr="00C52B03">
        <w:rPr>
          <w:rFonts w:ascii="Arial" w:hAnsi="Arial" w:cs="Arial"/>
          <w:i/>
          <w:iCs/>
          <w:color w:val="000000" w:themeColor="text1"/>
          <w:sz w:val="22"/>
          <w:szCs w:val="22"/>
        </w:rPr>
        <w:t>the charismatic lecturer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it is interesting to point out the risk involved in putting across a </w:t>
      </w:r>
      <w:proofErr w:type="gramStart"/>
      <w:r>
        <w:rPr>
          <w:rFonts w:ascii="Arial" w:hAnsi="Arial" w:cs="Arial"/>
          <w:color w:val="000000" w:themeColor="text1"/>
          <w:sz w:val="22"/>
          <w:szCs w:val="22"/>
        </w:rPr>
        <w:t>flaws</w:t>
      </w:r>
      <w:proofErr w:type="gramEnd"/>
      <w:r>
        <w:rPr>
          <w:rFonts w:ascii="Arial" w:hAnsi="Arial" w:cs="Arial"/>
          <w:color w:val="000000" w:themeColor="text1"/>
          <w:sz w:val="22"/>
          <w:szCs w:val="22"/>
        </w:rPr>
        <w:t xml:space="preserve"> (or in this case, over-generalisations) as an educator:</w:t>
      </w:r>
    </w:p>
    <w:p w14:paraId="2C978BD6" w14:textId="4CDC5E98" w:rsidR="00C52B03" w:rsidRDefault="00C52B0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D25BC7E" w14:textId="47BA53EE" w:rsidR="00C52B03" w:rsidRDefault="00C52B03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“When it came to questions from students towards the end, none of these sought to challenge the highly contentious nature of his lecture.”</w:t>
      </w:r>
      <w:r>
        <w:rPr>
          <w:rStyle w:val="FootnoteReference"/>
          <w:rFonts w:ascii="Arial" w:hAnsi="Arial" w:cs="Arial"/>
          <w:color w:val="000000" w:themeColor="text1"/>
          <w:sz w:val="22"/>
          <w:szCs w:val="22"/>
        </w:rPr>
        <w:footnoteReference w:id="5"/>
      </w:r>
    </w:p>
    <w:p w14:paraId="5232A2C2" w14:textId="7B9AC962" w:rsidR="00C52B03" w:rsidRDefault="00C52B0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C2CBDCB" w14:textId="43896C15" w:rsidR="00C52B03" w:rsidRDefault="00C52B03">
      <w:pPr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This quote, describing concerns raised through a teaching observation where </w:t>
      </w:r>
      <w:r w:rsidRPr="00C52B03">
        <w:rPr>
          <w:rFonts w:ascii="Arial" w:hAnsi="Arial" w:cs="Arial"/>
          <w:color w:val="000000" w:themeColor="text1"/>
          <w:sz w:val="22"/>
          <w:szCs w:val="22"/>
        </w:rPr>
        <w:t>a lecturer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made potentially problematic omittances in their session, illustrates that it might in fact take a special kind of learner (perhaps someone like Rita) to feel the confidence to challenge, or even reflect on, the teaching practice of the </w:t>
      </w:r>
      <w:r w:rsidRPr="00C52B03">
        <w:rPr>
          <w:rFonts w:ascii="Arial" w:hAnsi="Arial" w:cs="Arial"/>
          <w:i/>
          <w:iCs/>
          <w:color w:val="000000" w:themeColor="text1"/>
          <w:sz w:val="22"/>
          <w:szCs w:val="22"/>
        </w:rPr>
        <w:t>charismatic lecturer.</w:t>
      </w:r>
    </w:p>
    <w:p w14:paraId="69B3A32D" w14:textId="2B87F7E0" w:rsidR="00C52B03" w:rsidRDefault="00C52B03">
      <w:pPr>
        <w:rPr>
          <w:rFonts w:ascii="Arial" w:hAnsi="Arial" w:cs="Arial"/>
          <w:i/>
          <w:iCs/>
          <w:color w:val="000000" w:themeColor="text1"/>
          <w:sz w:val="22"/>
          <w:szCs w:val="22"/>
        </w:rPr>
      </w:pPr>
    </w:p>
    <w:p w14:paraId="1A3D0FE3" w14:textId="28E90307" w:rsidR="00C52B03" w:rsidRDefault="00C52B03">
      <w:pPr>
        <w:rPr>
          <w:rFonts w:ascii="Arial" w:hAnsi="Arial" w:cs="Arial"/>
          <w:color w:val="000000" w:themeColor="text1"/>
          <w:sz w:val="22"/>
          <w:szCs w:val="22"/>
        </w:rPr>
      </w:pPr>
      <w:r w:rsidRPr="00C52B03">
        <w:rPr>
          <w:rFonts w:ascii="Arial" w:hAnsi="Arial" w:cs="Arial"/>
          <w:color w:val="000000" w:themeColor="text1"/>
          <w:sz w:val="22"/>
          <w:szCs w:val="22"/>
        </w:rPr>
        <w:t>I find th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e nuances around this power dynamic very interesting. If I am totally honest with myself, I can’t deny that the idea of </w:t>
      </w:r>
      <w:r w:rsidRPr="00C52B03">
        <w:rPr>
          <w:rFonts w:ascii="Arial" w:hAnsi="Arial" w:cs="Arial"/>
          <w:i/>
          <w:iCs/>
          <w:color w:val="000000" w:themeColor="text1"/>
          <w:sz w:val="22"/>
          <w:szCs w:val="22"/>
        </w:rPr>
        <w:t>the charismatic lecturer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is still something that I (as a learner) have found value in, especially in relation to my own </w:t>
      </w:r>
      <w:r w:rsidRPr="00C52B03">
        <w:rPr>
          <w:rFonts w:ascii="Arial" w:hAnsi="Arial" w:cs="Arial"/>
          <w:i/>
          <w:iCs/>
          <w:color w:val="000000" w:themeColor="text1"/>
          <w:sz w:val="22"/>
          <w:szCs w:val="22"/>
        </w:rPr>
        <w:t>freedom to learn</w:t>
      </w:r>
      <w:r>
        <w:rPr>
          <w:rStyle w:val="FootnoteReference"/>
          <w:rFonts w:ascii="Arial" w:hAnsi="Arial" w:cs="Arial"/>
          <w:i/>
          <w:iCs/>
          <w:color w:val="000000" w:themeColor="text1"/>
          <w:sz w:val="22"/>
          <w:szCs w:val="22"/>
        </w:rPr>
        <w:footnoteReference w:id="6"/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outside of the bureaucracy of student expectations, which I have found to be somewhat oppressive. For want of a more intelligent phrasing, I find active authorship [including the flaws involved in this] easier to bounce off. I hope to understand what this taste as a learner means for me as a teacher throughout this course. I can already feel my fear receptors shivering — I don’t want to be sacked! Please, don’t sack me! I promise to follow the rules! I promise to follow the structure! I won’t be </w:t>
      </w:r>
      <w:r w:rsidRPr="00C52B03">
        <w:rPr>
          <w:rFonts w:ascii="Arial" w:hAnsi="Arial" w:cs="Arial"/>
          <w:i/>
          <w:iCs/>
          <w:color w:val="000000" w:themeColor="text1"/>
          <w:sz w:val="22"/>
          <w:szCs w:val="22"/>
        </w:rPr>
        <w:t>the charismatic lecturer!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Or, or, </w:t>
      </w:r>
      <w:proofErr w:type="gramStart"/>
      <w:r>
        <w:rPr>
          <w:rFonts w:ascii="Arial" w:hAnsi="Arial" w:cs="Arial"/>
          <w:color w:val="000000" w:themeColor="text1"/>
          <w:sz w:val="22"/>
          <w:szCs w:val="22"/>
        </w:rPr>
        <w:t>or,</w:t>
      </w:r>
      <w:proofErr w:type="gramEnd"/>
      <w:r>
        <w:rPr>
          <w:rFonts w:ascii="Arial" w:hAnsi="Arial" w:cs="Arial"/>
          <w:color w:val="000000" w:themeColor="text1"/>
          <w:sz w:val="22"/>
          <w:szCs w:val="22"/>
        </w:rPr>
        <w:t xml:space="preserve"> is it possible to employ a </w:t>
      </w:r>
      <w:r w:rsidRPr="00C52B03">
        <w:rPr>
          <w:rFonts w:ascii="Arial" w:hAnsi="Arial" w:cs="Arial"/>
          <w:i/>
          <w:iCs/>
          <w:color w:val="000000" w:themeColor="text1"/>
          <w:sz w:val="22"/>
          <w:szCs w:val="22"/>
        </w:rPr>
        <w:t>both/and</w:t>
      </w:r>
      <w:r>
        <w:rPr>
          <w:rStyle w:val="FootnoteReference"/>
          <w:rFonts w:ascii="Arial" w:hAnsi="Arial" w:cs="Arial"/>
          <w:i/>
          <w:iCs/>
          <w:color w:val="000000" w:themeColor="text1"/>
          <w:sz w:val="22"/>
          <w:szCs w:val="22"/>
        </w:rPr>
        <w:footnoteReference w:id="7"/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approach?!</w:t>
      </w:r>
    </w:p>
    <w:p w14:paraId="0E25DED1" w14:textId="5DE19F09" w:rsidR="00C52B03" w:rsidRDefault="00C52B0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39F156E" w14:textId="39C1FFF0" w:rsidR="00C52B03" w:rsidRPr="00C52B03" w:rsidRDefault="00C52B03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C52B03">
        <w:rPr>
          <w:rFonts w:ascii="Arial" w:hAnsi="Arial" w:cs="Arial"/>
          <w:b/>
          <w:bCs/>
          <w:color w:val="000000" w:themeColor="text1"/>
          <w:sz w:val="22"/>
          <w:szCs w:val="22"/>
        </w:rPr>
        <w:t>References</w:t>
      </w:r>
    </w:p>
    <w:p w14:paraId="628474D9" w14:textId="0E83A0CC" w:rsidR="00C52B03" w:rsidRDefault="00C52B0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3FD14BD" w14:textId="77777777" w:rsidR="00C52B03" w:rsidRPr="00C52B03" w:rsidRDefault="00C52B03" w:rsidP="00C52B03">
      <w:pPr>
        <w:pStyle w:val="FootnoteText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proofErr w:type="spellStart"/>
      <w:r w:rsidRPr="00C52B03">
        <w:rPr>
          <w:rFonts w:ascii="Arial" w:hAnsi="Arial" w:cs="Arial"/>
          <w:sz w:val="22"/>
          <w:szCs w:val="22"/>
        </w:rPr>
        <w:t>AdvanceHE</w:t>
      </w:r>
      <w:proofErr w:type="spellEnd"/>
      <w:r w:rsidRPr="00C52B03">
        <w:rPr>
          <w:rFonts w:ascii="Arial" w:hAnsi="Arial" w:cs="Arial"/>
          <w:sz w:val="22"/>
          <w:szCs w:val="22"/>
        </w:rPr>
        <w:t xml:space="preserve"> (2024) Profile: </w:t>
      </w:r>
      <w:r w:rsidRPr="00C52B03">
        <w:rPr>
          <w:rFonts w:ascii="Arial" w:hAnsi="Arial" w:cs="Arial"/>
          <w:i/>
          <w:iCs/>
          <w:sz w:val="22"/>
          <w:szCs w:val="22"/>
        </w:rPr>
        <w:t>Professor Bruce Macfarlane</w:t>
      </w:r>
      <w:r w:rsidRPr="00C52B03">
        <w:rPr>
          <w:rFonts w:ascii="Arial" w:hAnsi="Arial" w:cs="Arial"/>
          <w:sz w:val="22"/>
          <w:szCs w:val="22"/>
        </w:rPr>
        <w:t xml:space="preserve"> &lt;https://www.advance-he.ac.uk/profile/professor-bruce-macfarlane&gt; Accessed April 2024</w:t>
      </w:r>
    </w:p>
    <w:p w14:paraId="0F116A5C" w14:textId="77777777" w:rsidR="00C52B03" w:rsidRPr="00C52B03" w:rsidRDefault="00C52B03" w:rsidP="00C52B03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C52B03">
        <w:rPr>
          <w:rFonts w:ascii="Arial" w:hAnsi="Arial" w:cs="Arial"/>
          <w:sz w:val="22"/>
          <w:szCs w:val="22"/>
        </w:rPr>
        <w:t xml:space="preserve">MacFarlane, Bruce (2023) </w:t>
      </w:r>
      <w:r w:rsidRPr="00C52B03">
        <w:rPr>
          <w:rFonts w:ascii="Arial" w:hAnsi="Arial" w:cs="Arial"/>
          <w:i/>
          <w:iCs/>
          <w:sz w:val="22"/>
          <w:szCs w:val="22"/>
        </w:rPr>
        <w:t xml:space="preserve">Freedom to Learn: </w:t>
      </w:r>
      <w:r w:rsidRPr="00C52B03">
        <w:rPr>
          <w:rFonts w:ascii="Arial" w:eastAsia="Times New Roman" w:hAnsi="Arial" w:cs="Arial"/>
          <w:i/>
          <w:iCs/>
          <w:color w:val="212529"/>
          <w:sz w:val="22"/>
          <w:szCs w:val="22"/>
          <w:shd w:val="clear" w:color="auto" w:fill="FFFFFF"/>
          <w:lang w:eastAsia="en-GB"/>
        </w:rPr>
        <w:t>The threat to student academic freedom and why it needs to be reclaimed.</w:t>
      </w:r>
      <w:r w:rsidRPr="00C52B03">
        <w:rPr>
          <w:rFonts w:ascii="Arial" w:eastAsia="Times New Roman" w:hAnsi="Arial" w:cs="Arial"/>
          <w:color w:val="212529"/>
          <w:sz w:val="22"/>
          <w:szCs w:val="22"/>
          <w:shd w:val="clear" w:color="auto" w:fill="FFFFFF"/>
          <w:lang w:eastAsia="en-GB"/>
        </w:rPr>
        <w:t xml:space="preserve"> Routledge </w:t>
      </w:r>
    </w:p>
    <w:p w14:paraId="2A29FAC7" w14:textId="77777777" w:rsidR="00C52B03" w:rsidRPr="00C52B03" w:rsidRDefault="00C52B03" w:rsidP="00C52B03">
      <w:pPr>
        <w:pStyle w:val="FootnoteText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proofErr w:type="spellStart"/>
      <w:r w:rsidRPr="00C52B03">
        <w:rPr>
          <w:rFonts w:ascii="Arial" w:hAnsi="Arial" w:cs="Arial"/>
          <w:sz w:val="22"/>
          <w:szCs w:val="22"/>
        </w:rPr>
        <w:t>Mcluhan</w:t>
      </w:r>
      <w:proofErr w:type="spellEnd"/>
      <w:r w:rsidRPr="00C52B03">
        <w:rPr>
          <w:rFonts w:ascii="Arial" w:hAnsi="Arial" w:cs="Arial"/>
          <w:sz w:val="22"/>
          <w:szCs w:val="22"/>
        </w:rPr>
        <w:t xml:space="preserve">, Marshall &amp; Powers, Bruce (1989) </w:t>
      </w:r>
      <w:r w:rsidRPr="00C52B03">
        <w:rPr>
          <w:rFonts w:ascii="Arial" w:hAnsi="Arial" w:cs="Arial"/>
          <w:i/>
          <w:iCs/>
          <w:sz w:val="22"/>
          <w:szCs w:val="22"/>
        </w:rPr>
        <w:t>The Global Village: Transformations in World Life and Media in the 21</w:t>
      </w:r>
      <w:r w:rsidRPr="00C52B03">
        <w:rPr>
          <w:rFonts w:ascii="Arial" w:hAnsi="Arial" w:cs="Arial"/>
          <w:i/>
          <w:iCs/>
          <w:sz w:val="22"/>
          <w:szCs w:val="22"/>
          <w:vertAlign w:val="superscript"/>
        </w:rPr>
        <w:t>st</w:t>
      </w:r>
      <w:r w:rsidRPr="00C52B03">
        <w:rPr>
          <w:rFonts w:ascii="Arial" w:hAnsi="Arial" w:cs="Arial"/>
          <w:i/>
          <w:iCs/>
          <w:sz w:val="22"/>
          <w:szCs w:val="22"/>
        </w:rPr>
        <w:t xml:space="preserve"> Century. </w:t>
      </w:r>
      <w:r w:rsidRPr="00C52B03">
        <w:rPr>
          <w:rFonts w:ascii="Arial" w:hAnsi="Arial" w:cs="Arial"/>
          <w:sz w:val="22"/>
          <w:szCs w:val="22"/>
        </w:rPr>
        <w:t>Oxford University Press</w:t>
      </w:r>
    </w:p>
    <w:p w14:paraId="27867657" w14:textId="77777777" w:rsidR="00C52B03" w:rsidRPr="00C52B03" w:rsidRDefault="00C52B03" w:rsidP="00C52B03">
      <w:pPr>
        <w:pStyle w:val="ListParagraph"/>
        <w:numPr>
          <w:ilvl w:val="0"/>
          <w:numId w:val="1"/>
        </w:numPr>
        <w:spacing w:line="276" w:lineRule="auto"/>
        <w:rPr>
          <w:rFonts w:ascii="Arial" w:eastAsia="MS Mincho" w:hAnsi="Arial" w:cs="Arial"/>
          <w:color w:val="000000"/>
          <w:sz w:val="22"/>
          <w:szCs w:val="22"/>
          <w:u w:color="000000"/>
        </w:rPr>
      </w:pPr>
      <w:r w:rsidRPr="00C52B03">
        <w:rPr>
          <w:rFonts w:ascii="Arial" w:eastAsia="MS Mincho" w:hAnsi="Arial" w:cs="Arial"/>
          <w:color w:val="000000"/>
          <w:sz w:val="22"/>
          <w:szCs w:val="22"/>
          <w:u w:color="000000"/>
        </w:rPr>
        <w:t xml:space="preserve">Russell, Willy ([1980] 1991), </w:t>
      </w:r>
      <w:r w:rsidRPr="00C52B03">
        <w:rPr>
          <w:rFonts w:ascii="Arial" w:eastAsia="MS Mincho" w:hAnsi="Arial" w:cs="Arial"/>
          <w:i/>
          <w:iCs/>
          <w:color w:val="000000"/>
          <w:sz w:val="22"/>
          <w:szCs w:val="22"/>
          <w:u w:color="000000"/>
        </w:rPr>
        <w:t>Educating Rita</w:t>
      </w:r>
      <w:r w:rsidRPr="00C52B03">
        <w:rPr>
          <w:rFonts w:ascii="Arial" w:eastAsia="MS Mincho" w:hAnsi="Arial" w:cs="Arial"/>
          <w:color w:val="000000"/>
          <w:sz w:val="22"/>
          <w:szCs w:val="22"/>
          <w:u w:color="000000"/>
        </w:rPr>
        <w:t>, Second edition (ed. Longman Group Limited), England: Longman Literature.</w:t>
      </w:r>
    </w:p>
    <w:p w14:paraId="6C76BD79" w14:textId="77777777" w:rsidR="00C52B03" w:rsidRPr="00C52B03" w:rsidRDefault="00C52B03" w:rsidP="00C52B03">
      <w:pPr>
        <w:pStyle w:val="FootnoteText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proofErr w:type="spellStart"/>
      <w:r w:rsidRPr="00C52B03">
        <w:rPr>
          <w:rFonts w:ascii="Arial" w:hAnsi="Arial" w:cs="Arial"/>
          <w:sz w:val="22"/>
          <w:szCs w:val="22"/>
        </w:rPr>
        <w:t>Searson</w:t>
      </w:r>
      <w:proofErr w:type="spellEnd"/>
      <w:r w:rsidRPr="00C52B03">
        <w:rPr>
          <w:rFonts w:ascii="Arial" w:hAnsi="Arial" w:cs="Arial"/>
          <w:sz w:val="22"/>
          <w:szCs w:val="22"/>
        </w:rPr>
        <w:t xml:space="preserve">, Eilis (2023) </w:t>
      </w:r>
      <w:r w:rsidRPr="00C52B03">
        <w:rPr>
          <w:rFonts w:ascii="Arial" w:hAnsi="Arial" w:cs="Arial"/>
          <w:i/>
          <w:iCs/>
          <w:sz w:val="22"/>
          <w:szCs w:val="22"/>
        </w:rPr>
        <w:t>Class Matters in Class Matters: Education and Emancipation in Working Class Culture</w:t>
      </w:r>
      <w:r w:rsidRPr="00C52B03">
        <w:rPr>
          <w:rFonts w:ascii="Arial" w:hAnsi="Arial" w:cs="Arial"/>
          <w:sz w:val="22"/>
          <w:szCs w:val="22"/>
        </w:rPr>
        <w:t>. Journal of Illustration: Intellect books</w:t>
      </w:r>
    </w:p>
    <w:p w14:paraId="6ABC5E2A" w14:textId="77777777" w:rsidR="00C52B03" w:rsidRPr="00C52B03" w:rsidRDefault="00C52B03">
      <w:pPr>
        <w:rPr>
          <w:rFonts w:ascii="Arial" w:hAnsi="Arial" w:cs="Arial"/>
          <w:color w:val="000000" w:themeColor="text1"/>
          <w:sz w:val="22"/>
          <w:szCs w:val="22"/>
        </w:rPr>
      </w:pPr>
    </w:p>
    <w:sectPr w:rsidR="00C52B03" w:rsidRPr="00C52B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CAACDB" w14:textId="77777777" w:rsidR="00F82427" w:rsidRDefault="00F82427" w:rsidP="00C52B03">
      <w:r>
        <w:separator/>
      </w:r>
    </w:p>
  </w:endnote>
  <w:endnote w:type="continuationSeparator" w:id="0">
    <w:p w14:paraId="35999590" w14:textId="77777777" w:rsidR="00F82427" w:rsidRDefault="00F82427" w:rsidP="00C52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87AFD1" w14:textId="77777777" w:rsidR="00F82427" w:rsidRDefault="00F82427" w:rsidP="00C52B03">
      <w:r>
        <w:separator/>
      </w:r>
    </w:p>
  </w:footnote>
  <w:footnote w:type="continuationSeparator" w:id="0">
    <w:p w14:paraId="3B313AF5" w14:textId="77777777" w:rsidR="00F82427" w:rsidRDefault="00F82427" w:rsidP="00C52B03">
      <w:r>
        <w:continuationSeparator/>
      </w:r>
    </w:p>
  </w:footnote>
  <w:footnote w:id="1">
    <w:p w14:paraId="3BA26363" w14:textId="20C848D8" w:rsidR="00C52B03" w:rsidRPr="00C52B03" w:rsidRDefault="00C52B03" w:rsidP="00C52B03">
      <w:pPr>
        <w:rPr>
          <w:rFonts w:ascii="Arial" w:eastAsia="Times New Roman" w:hAnsi="Arial" w:cs="Arial"/>
          <w:sz w:val="18"/>
          <w:szCs w:val="18"/>
          <w:lang w:eastAsia="en-GB"/>
        </w:rPr>
      </w:pPr>
      <w:r w:rsidRPr="00C52B03">
        <w:rPr>
          <w:rStyle w:val="FootnoteReference"/>
          <w:rFonts w:ascii="Arial" w:hAnsi="Arial" w:cs="Arial"/>
          <w:sz w:val="18"/>
          <w:szCs w:val="18"/>
        </w:rPr>
        <w:footnoteRef/>
      </w:r>
      <w:r w:rsidRPr="00C52B03">
        <w:rPr>
          <w:rFonts w:ascii="Arial" w:hAnsi="Arial" w:cs="Arial"/>
          <w:sz w:val="18"/>
          <w:szCs w:val="18"/>
        </w:rPr>
        <w:t xml:space="preserve"> MacFarlane, Bruce (2023) </w:t>
      </w:r>
      <w:r w:rsidRPr="00C52B03">
        <w:rPr>
          <w:rFonts w:ascii="Arial" w:hAnsi="Arial" w:cs="Arial"/>
          <w:i/>
          <w:iCs/>
          <w:sz w:val="18"/>
          <w:szCs w:val="18"/>
        </w:rPr>
        <w:t xml:space="preserve">Freedom to Learn: </w:t>
      </w:r>
      <w:r w:rsidRPr="00C52B03">
        <w:rPr>
          <w:rFonts w:ascii="Arial" w:eastAsia="Times New Roman" w:hAnsi="Arial" w:cs="Arial"/>
          <w:i/>
          <w:iCs/>
          <w:color w:val="212529"/>
          <w:sz w:val="18"/>
          <w:szCs w:val="18"/>
          <w:shd w:val="clear" w:color="auto" w:fill="FFFFFF"/>
          <w:lang w:eastAsia="en-GB"/>
        </w:rPr>
        <w:t>The threat to student academic freedom and why it needs to be reclaimed</w:t>
      </w:r>
      <w:r w:rsidRPr="00C52B03">
        <w:rPr>
          <w:rFonts w:ascii="Arial" w:eastAsia="Times New Roman" w:hAnsi="Arial" w:cs="Arial"/>
          <w:i/>
          <w:iCs/>
          <w:color w:val="212529"/>
          <w:sz w:val="18"/>
          <w:szCs w:val="18"/>
          <w:shd w:val="clear" w:color="auto" w:fill="FFFFFF"/>
          <w:lang w:eastAsia="en-GB"/>
        </w:rPr>
        <w:t>.</w:t>
      </w:r>
      <w:r w:rsidRPr="00C52B03">
        <w:rPr>
          <w:rFonts w:ascii="Arial" w:eastAsia="Times New Roman" w:hAnsi="Arial" w:cs="Arial"/>
          <w:color w:val="212529"/>
          <w:sz w:val="18"/>
          <w:szCs w:val="18"/>
          <w:shd w:val="clear" w:color="auto" w:fill="FFFFFF"/>
          <w:lang w:eastAsia="en-GB"/>
        </w:rPr>
        <w:t xml:space="preserve"> Routledge &lt;</w:t>
      </w:r>
      <w:r w:rsidRPr="00C52B03">
        <w:rPr>
          <w:rFonts w:ascii="Arial" w:eastAsia="Times New Roman" w:hAnsi="Arial" w:cs="Arial"/>
          <w:color w:val="212529"/>
          <w:sz w:val="18"/>
          <w:szCs w:val="18"/>
          <w:shd w:val="clear" w:color="auto" w:fill="FFFFFF"/>
          <w:lang w:eastAsia="en-GB"/>
        </w:rPr>
        <w:t>https://www.routledge.com/Freedom-to-Learn-The-threat-to-student-academic-freedom-and-why-it-needs-to-be-reclaimed/Macfarlane/p/book/9780415729161</w:t>
      </w:r>
      <w:r w:rsidRPr="00C52B03">
        <w:rPr>
          <w:rFonts w:ascii="Arial" w:eastAsia="Times New Roman" w:hAnsi="Arial" w:cs="Arial"/>
          <w:color w:val="212529"/>
          <w:sz w:val="18"/>
          <w:szCs w:val="18"/>
          <w:shd w:val="clear" w:color="auto" w:fill="FFFFFF"/>
          <w:lang w:eastAsia="en-GB"/>
        </w:rPr>
        <w:t>&gt; Accessed April 2024</w:t>
      </w:r>
      <w:r w:rsidRPr="00C52B03">
        <w:rPr>
          <w:rFonts w:ascii="Arial" w:eastAsia="Times New Roman" w:hAnsi="Arial" w:cs="Arial"/>
          <w:color w:val="212529"/>
          <w:sz w:val="18"/>
          <w:szCs w:val="18"/>
          <w:shd w:val="clear" w:color="auto" w:fill="FFFFFF"/>
          <w:lang w:eastAsia="en-GB"/>
        </w:rPr>
        <w:br/>
      </w:r>
    </w:p>
  </w:footnote>
  <w:footnote w:id="2">
    <w:p w14:paraId="09F99BD0" w14:textId="7FE5750C" w:rsidR="00C52B03" w:rsidRPr="00C52B03" w:rsidRDefault="00C52B03">
      <w:pPr>
        <w:pStyle w:val="FootnoteText"/>
        <w:rPr>
          <w:rFonts w:ascii="Arial" w:hAnsi="Arial" w:cs="Arial"/>
          <w:sz w:val="18"/>
          <w:szCs w:val="18"/>
        </w:rPr>
      </w:pPr>
      <w:r w:rsidRPr="00C52B03">
        <w:rPr>
          <w:rStyle w:val="FootnoteReference"/>
          <w:rFonts w:ascii="Arial" w:hAnsi="Arial" w:cs="Arial"/>
          <w:sz w:val="18"/>
          <w:szCs w:val="18"/>
        </w:rPr>
        <w:footnoteRef/>
      </w:r>
      <w:r w:rsidRPr="00C52B0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52B03">
        <w:rPr>
          <w:rFonts w:ascii="Arial" w:hAnsi="Arial" w:cs="Arial"/>
          <w:sz w:val="18"/>
          <w:szCs w:val="18"/>
        </w:rPr>
        <w:t>AdvanceHE</w:t>
      </w:r>
      <w:proofErr w:type="spellEnd"/>
      <w:r w:rsidRPr="00C52B03">
        <w:rPr>
          <w:rFonts w:ascii="Arial" w:hAnsi="Arial" w:cs="Arial"/>
          <w:sz w:val="18"/>
          <w:szCs w:val="18"/>
        </w:rPr>
        <w:t xml:space="preserve"> (2024) Profile: </w:t>
      </w:r>
      <w:r w:rsidRPr="00C52B03">
        <w:rPr>
          <w:rFonts w:ascii="Arial" w:hAnsi="Arial" w:cs="Arial"/>
          <w:i/>
          <w:iCs/>
          <w:sz w:val="18"/>
          <w:szCs w:val="18"/>
        </w:rPr>
        <w:t>Professor Bruce Macfarlane</w:t>
      </w:r>
      <w:r w:rsidRPr="00C52B03">
        <w:rPr>
          <w:rFonts w:ascii="Arial" w:hAnsi="Arial" w:cs="Arial"/>
          <w:sz w:val="18"/>
          <w:szCs w:val="18"/>
        </w:rPr>
        <w:t xml:space="preserve"> &lt;</w:t>
      </w:r>
      <w:r w:rsidRPr="00C52B03">
        <w:rPr>
          <w:rFonts w:ascii="Arial" w:hAnsi="Arial" w:cs="Arial"/>
          <w:sz w:val="18"/>
          <w:szCs w:val="18"/>
        </w:rPr>
        <w:t>https://www.advance-he.ac.uk/profile/professor-bruce-macfarlane</w:t>
      </w:r>
      <w:r w:rsidRPr="00C52B03">
        <w:rPr>
          <w:rFonts w:ascii="Arial" w:hAnsi="Arial" w:cs="Arial"/>
          <w:sz w:val="18"/>
          <w:szCs w:val="18"/>
        </w:rPr>
        <w:t>&gt; Accessed April 2024</w:t>
      </w:r>
    </w:p>
  </w:footnote>
  <w:footnote w:id="3">
    <w:p w14:paraId="3B24253F" w14:textId="24B646B7" w:rsidR="00C52B03" w:rsidRPr="00C52B03" w:rsidRDefault="00C52B03" w:rsidP="00C52B03">
      <w:pPr>
        <w:spacing w:line="276" w:lineRule="auto"/>
        <w:rPr>
          <w:rFonts w:ascii="Arial" w:eastAsia="MS Mincho" w:hAnsi="Arial" w:cs="Arial"/>
          <w:color w:val="000000"/>
          <w:sz w:val="18"/>
          <w:szCs w:val="18"/>
          <w:u w:color="000000"/>
        </w:rPr>
      </w:pPr>
      <w:r w:rsidRPr="00C52B03">
        <w:rPr>
          <w:rStyle w:val="FootnoteReference"/>
          <w:rFonts w:ascii="Arial" w:hAnsi="Arial" w:cs="Arial"/>
          <w:sz w:val="18"/>
          <w:szCs w:val="18"/>
        </w:rPr>
        <w:footnoteRef/>
      </w:r>
      <w:r w:rsidRPr="00C52B03">
        <w:rPr>
          <w:rFonts w:ascii="Arial" w:hAnsi="Arial" w:cs="Arial"/>
          <w:sz w:val="18"/>
          <w:szCs w:val="18"/>
        </w:rPr>
        <w:t xml:space="preserve"> </w:t>
      </w:r>
      <w:r w:rsidRPr="00C52B03">
        <w:rPr>
          <w:rFonts w:ascii="Arial" w:eastAsia="MS Mincho" w:hAnsi="Arial" w:cs="Arial"/>
          <w:color w:val="000000"/>
          <w:sz w:val="18"/>
          <w:szCs w:val="18"/>
          <w:u w:color="000000"/>
        </w:rPr>
        <w:t xml:space="preserve">Russell, Willy ([1980] 1991), </w:t>
      </w:r>
      <w:r w:rsidRPr="00C52B03">
        <w:rPr>
          <w:rFonts w:ascii="Arial" w:eastAsia="MS Mincho" w:hAnsi="Arial" w:cs="Arial"/>
          <w:i/>
          <w:iCs/>
          <w:color w:val="000000"/>
          <w:sz w:val="18"/>
          <w:szCs w:val="18"/>
          <w:u w:color="000000"/>
        </w:rPr>
        <w:t>Educating Rita</w:t>
      </w:r>
      <w:r w:rsidRPr="00C52B03">
        <w:rPr>
          <w:rFonts w:ascii="Arial" w:eastAsia="MS Mincho" w:hAnsi="Arial" w:cs="Arial"/>
          <w:color w:val="000000"/>
          <w:sz w:val="18"/>
          <w:szCs w:val="18"/>
          <w:u w:color="000000"/>
        </w:rPr>
        <w:t>, Second edition (ed. Longman Group Limited), England: Longman Literature.</w:t>
      </w:r>
    </w:p>
    <w:p w14:paraId="4DAB03EF" w14:textId="74B5AC23" w:rsidR="00C52B03" w:rsidRPr="00C52B03" w:rsidRDefault="00C52B03">
      <w:pPr>
        <w:pStyle w:val="FootnoteText"/>
        <w:rPr>
          <w:rFonts w:ascii="Arial" w:hAnsi="Arial" w:cs="Arial"/>
          <w:sz w:val="18"/>
          <w:szCs w:val="18"/>
        </w:rPr>
      </w:pPr>
    </w:p>
  </w:footnote>
  <w:footnote w:id="4">
    <w:p w14:paraId="53D93B92" w14:textId="4FB21B43" w:rsidR="00C52B03" w:rsidRPr="00C52B03" w:rsidRDefault="00C52B03">
      <w:pPr>
        <w:pStyle w:val="FootnoteText"/>
        <w:rPr>
          <w:rFonts w:ascii="Arial" w:hAnsi="Arial" w:cs="Arial"/>
          <w:sz w:val="18"/>
          <w:szCs w:val="18"/>
        </w:rPr>
      </w:pPr>
      <w:r w:rsidRPr="00C52B03">
        <w:rPr>
          <w:rStyle w:val="FootnoteReference"/>
          <w:rFonts w:ascii="Arial" w:hAnsi="Arial" w:cs="Arial"/>
          <w:sz w:val="18"/>
          <w:szCs w:val="18"/>
        </w:rPr>
        <w:footnoteRef/>
      </w:r>
      <w:r w:rsidRPr="00C52B0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52B03">
        <w:rPr>
          <w:rFonts w:ascii="Arial" w:hAnsi="Arial" w:cs="Arial"/>
          <w:sz w:val="18"/>
          <w:szCs w:val="18"/>
        </w:rPr>
        <w:t>Searson</w:t>
      </w:r>
      <w:proofErr w:type="spellEnd"/>
      <w:r w:rsidRPr="00C52B03">
        <w:rPr>
          <w:rFonts w:ascii="Arial" w:hAnsi="Arial" w:cs="Arial"/>
          <w:sz w:val="18"/>
          <w:szCs w:val="18"/>
        </w:rPr>
        <w:t xml:space="preserve">, Eilis (2023) </w:t>
      </w:r>
      <w:r w:rsidRPr="00C52B03">
        <w:rPr>
          <w:rFonts w:ascii="Arial" w:hAnsi="Arial" w:cs="Arial"/>
          <w:i/>
          <w:iCs/>
          <w:sz w:val="18"/>
          <w:szCs w:val="18"/>
        </w:rPr>
        <w:t>Class Matters in Class Matters: Education and Emancipation in Working Class Culture</w:t>
      </w:r>
      <w:r w:rsidRPr="00C52B03">
        <w:rPr>
          <w:rFonts w:ascii="Arial" w:hAnsi="Arial" w:cs="Arial"/>
          <w:sz w:val="18"/>
          <w:szCs w:val="18"/>
        </w:rPr>
        <w:t>. Journal of Illustration: Intellect books</w:t>
      </w:r>
    </w:p>
  </w:footnote>
  <w:footnote w:id="5">
    <w:p w14:paraId="26919B69" w14:textId="3A46DF76" w:rsidR="00C52B03" w:rsidRPr="00C52B03" w:rsidRDefault="00C52B03">
      <w:pPr>
        <w:pStyle w:val="FootnoteText"/>
        <w:rPr>
          <w:rFonts w:ascii="Arial" w:hAnsi="Arial" w:cs="Arial"/>
          <w:sz w:val="18"/>
          <w:szCs w:val="18"/>
        </w:rPr>
      </w:pPr>
      <w:r w:rsidRPr="00C52B03">
        <w:rPr>
          <w:rStyle w:val="FootnoteReference"/>
          <w:rFonts w:ascii="Arial" w:hAnsi="Arial" w:cs="Arial"/>
          <w:sz w:val="18"/>
          <w:szCs w:val="18"/>
        </w:rPr>
        <w:footnoteRef/>
      </w:r>
      <w:r w:rsidRPr="00C52B03">
        <w:rPr>
          <w:rFonts w:ascii="Arial" w:hAnsi="Arial" w:cs="Arial"/>
          <w:sz w:val="18"/>
          <w:szCs w:val="18"/>
        </w:rPr>
        <w:t xml:space="preserve"> MacFarlane, Bruce — source currently unknown, taken from a photocopied worksheet in workshop 1 of the PGCert, January 2024.</w:t>
      </w:r>
      <w:r w:rsidRPr="00C52B03">
        <w:rPr>
          <w:rFonts w:ascii="Arial" w:hAnsi="Arial" w:cs="Arial"/>
          <w:sz w:val="18"/>
          <w:szCs w:val="18"/>
        </w:rPr>
        <w:br/>
      </w:r>
    </w:p>
  </w:footnote>
  <w:footnote w:id="6">
    <w:p w14:paraId="2F488366" w14:textId="1EB6CBA9" w:rsidR="00C52B03" w:rsidRPr="00C52B03" w:rsidRDefault="00C52B03">
      <w:pPr>
        <w:pStyle w:val="FootnoteText"/>
        <w:rPr>
          <w:rFonts w:ascii="Arial" w:hAnsi="Arial" w:cs="Arial"/>
          <w:sz w:val="18"/>
          <w:szCs w:val="18"/>
        </w:rPr>
      </w:pPr>
      <w:r w:rsidRPr="00C52B03">
        <w:rPr>
          <w:rStyle w:val="FootnoteReference"/>
          <w:rFonts w:ascii="Arial" w:hAnsi="Arial" w:cs="Arial"/>
          <w:sz w:val="18"/>
          <w:szCs w:val="18"/>
        </w:rPr>
        <w:footnoteRef/>
      </w:r>
      <w:r w:rsidRPr="00C52B03">
        <w:rPr>
          <w:rFonts w:ascii="Arial" w:hAnsi="Arial" w:cs="Arial"/>
          <w:sz w:val="18"/>
          <w:szCs w:val="18"/>
        </w:rPr>
        <w:t xml:space="preserve"> Here I use the term ‘freedom to learn’ in the understanding that has been offered to me through MacFarlane’s book, as previously cited in this blog post.</w:t>
      </w:r>
      <w:r w:rsidRPr="00C52B03">
        <w:rPr>
          <w:rFonts w:ascii="Arial" w:hAnsi="Arial" w:cs="Arial"/>
          <w:sz w:val="18"/>
          <w:szCs w:val="18"/>
        </w:rPr>
        <w:br/>
      </w:r>
      <w:r w:rsidRPr="00C52B03">
        <w:rPr>
          <w:rFonts w:ascii="Arial" w:hAnsi="Arial" w:cs="Arial"/>
          <w:sz w:val="18"/>
          <w:szCs w:val="18"/>
        </w:rPr>
        <w:br/>
      </w:r>
      <w:r w:rsidRPr="00C52B03">
        <w:rPr>
          <w:rFonts w:ascii="Arial" w:hAnsi="Arial" w:cs="Arial"/>
          <w:sz w:val="18"/>
          <w:szCs w:val="18"/>
        </w:rPr>
        <w:t xml:space="preserve">MacFarlane, Bruce (2023) </w:t>
      </w:r>
      <w:r w:rsidRPr="00C52B03">
        <w:rPr>
          <w:rFonts w:ascii="Arial" w:hAnsi="Arial" w:cs="Arial"/>
          <w:i/>
          <w:iCs/>
          <w:sz w:val="18"/>
          <w:szCs w:val="18"/>
        </w:rPr>
        <w:t xml:space="preserve">Freedom to Learn: </w:t>
      </w:r>
      <w:r w:rsidRPr="00C52B03">
        <w:rPr>
          <w:rFonts w:ascii="Arial" w:eastAsia="Times New Roman" w:hAnsi="Arial" w:cs="Arial"/>
          <w:i/>
          <w:iCs/>
          <w:color w:val="212529"/>
          <w:sz w:val="18"/>
          <w:szCs w:val="18"/>
          <w:shd w:val="clear" w:color="auto" w:fill="FFFFFF"/>
          <w:lang w:eastAsia="en-GB"/>
        </w:rPr>
        <w:t>The threat to student academic freedom and why it needs to be reclaimed.</w:t>
      </w:r>
      <w:r w:rsidRPr="00C52B03">
        <w:rPr>
          <w:rFonts w:ascii="Arial" w:eastAsia="Times New Roman" w:hAnsi="Arial" w:cs="Arial"/>
          <w:color w:val="212529"/>
          <w:sz w:val="18"/>
          <w:szCs w:val="18"/>
          <w:shd w:val="clear" w:color="auto" w:fill="FFFFFF"/>
          <w:lang w:eastAsia="en-GB"/>
        </w:rPr>
        <w:t xml:space="preserve"> Routledge</w:t>
      </w:r>
      <w:r w:rsidRPr="00C52B03">
        <w:rPr>
          <w:rFonts w:ascii="Arial" w:eastAsia="Times New Roman" w:hAnsi="Arial" w:cs="Arial"/>
          <w:color w:val="212529"/>
          <w:sz w:val="18"/>
          <w:szCs w:val="18"/>
          <w:shd w:val="clear" w:color="auto" w:fill="FFFFFF"/>
          <w:lang w:eastAsia="en-GB"/>
        </w:rPr>
        <w:br/>
      </w:r>
    </w:p>
  </w:footnote>
  <w:footnote w:id="7">
    <w:p w14:paraId="7B1BBAF8" w14:textId="0F788C9B" w:rsidR="00C52B03" w:rsidRPr="00C52B03" w:rsidRDefault="00C52B03">
      <w:pPr>
        <w:pStyle w:val="FootnoteText"/>
        <w:rPr>
          <w:rFonts w:ascii="Arial" w:hAnsi="Arial" w:cs="Arial"/>
          <w:sz w:val="18"/>
          <w:szCs w:val="18"/>
        </w:rPr>
      </w:pPr>
      <w:r w:rsidRPr="00C52B03">
        <w:rPr>
          <w:rStyle w:val="FootnoteReference"/>
          <w:rFonts w:ascii="Arial" w:hAnsi="Arial" w:cs="Arial"/>
          <w:sz w:val="18"/>
          <w:szCs w:val="18"/>
        </w:rPr>
        <w:footnoteRef/>
      </w:r>
      <w:r w:rsidRPr="00C52B03">
        <w:rPr>
          <w:rFonts w:ascii="Arial" w:hAnsi="Arial" w:cs="Arial"/>
          <w:sz w:val="18"/>
          <w:szCs w:val="18"/>
        </w:rPr>
        <w:t xml:space="preserve"> In Marshall McLuhan’s last </w:t>
      </w:r>
      <w:proofErr w:type="gramStart"/>
      <w:r w:rsidRPr="00C52B03">
        <w:rPr>
          <w:rFonts w:ascii="Arial" w:hAnsi="Arial" w:cs="Arial"/>
          <w:sz w:val="18"/>
          <w:szCs w:val="18"/>
        </w:rPr>
        <w:t>book</w:t>
      </w:r>
      <w:proofErr w:type="gramEnd"/>
      <w:r w:rsidRPr="00C52B03">
        <w:rPr>
          <w:rFonts w:ascii="Arial" w:hAnsi="Arial" w:cs="Arial"/>
          <w:sz w:val="18"/>
          <w:szCs w:val="18"/>
        </w:rPr>
        <w:t xml:space="preserve"> </w:t>
      </w:r>
      <w:r w:rsidRPr="00C52B03">
        <w:rPr>
          <w:rFonts w:ascii="Arial" w:hAnsi="Arial" w:cs="Arial"/>
          <w:i/>
          <w:iCs/>
          <w:sz w:val="18"/>
          <w:szCs w:val="18"/>
        </w:rPr>
        <w:t>The Global Village: Transformations in World Life and Media in the 21</w:t>
      </w:r>
      <w:r w:rsidRPr="00C52B03">
        <w:rPr>
          <w:rFonts w:ascii="Arial" w:hAnsi="Arial" w:cs="Arial"/>
          <w:i/>
          <w:iCs/>
          <w:sz w:val="18"/>
          <w:szCs w:val="18"/>
          <w:vertAlign w:val="superscript"/>
        </w:rPr>
        <w:t>st</w:t>
      </w:r>
      <w:r w:rsidRPr="00C52B03">
        <w:rPr>
          <w:rFonts w:ascii="Arial" w:hAnsi="Arial" w:cs="Arial"/>
          <w:i/>
          <w:iCs/>
          <w:sz w:val="18"/>
          <w:szCs w:val="18"/>
        </w:rPr>
        <w:t xml:space="preserve"> Century</w:t>
      </w:r>
      <w:r w:rsidRPr="00C52B03">
        <w:rPr>
          <w:rFonts w:ascii="Arial" w:hAnsi="Arial" w:cs="Arial"/>
          <w:sz w:val="18"/>
          <w:szCs w:val="18"/>
        </w:rPr>
        <w:t xml:space="preserve"> (1989), he argues that we are moving from a Western ‘either-or’ approach to a ‘both-and’ approach that is more characteristic of non-Western cultures — with the ability to believe in two potentially contradictory things at once.</w:t>
      </w:r>
      <w:r w:rsidRPr="00C52B03">
        <w:rPr>
          <w:rFonts w:ascii="Arial" w:hAnsi="Arial" w:cs="Arial"/>
          <w:sz w:val="18"/>
          <w:szCs w:val="18"/>
        </w:rPr>
        <w:br/>
      </w:r>
      <w:r w:rsidRPr="00C52B03">
        <w:rPr>
          <w:rFonts w:ascii="Arial" w:hAnsi="Arial" w:cs="Arial"/>
          <w:sz w:val="18"/>
          <w:szCs w:val="18"/>
        </w:rPr>
        <w:br/>
      </w:r>
      <w:proofErr w:type="spellStart"/>
      <w:r w:rsidRPr="00C52B03">
        <w:rPr>
          <w:rFonts w:ascii="Arial" w:hAnsi="Arial" w:cs="Arial"/>
          <w:sz w:val="18"/>
          <w:szCs w:val="18"/>
        </w:rPr>
        <w:t>Mcluhan</w:t>
      </w:r>
      <w:proofErr w:type="spellEnd"/>
      <w:r w:rsidRPr="00C52B03">
        <w:rPr>
          <w:rFonts w:ascii="Arial" w:hAnsi="Arial" w:cs="Arial"/>
          <w:sz w:val="18"/>
          <w:szCs w:val="18"/>
        </w:rPr>
        <w:t xml:space="preserve">, Marshall &amp; Powers, Bruce (1989) </w:t>
      </w:r>
      <w:r w:rsidRPr="00C52B03">
        <w:rPr>
          <w:rFonts w:ascii="Arial" w:hAnsi="Arial" w:cs="Arial"/>
          <w:i/>
          <w:iCs/>
          <w:sz w:val="18"/>
          <w:szCs w:val="18"/>
        </w:rPr>
        <w:t>The Global Village: Transformations in World Life and Media in the 21</w:t>
      </w:r>
      <w:r w:rsidRPr="00C52B03">
        <w:rPr>
          <w:rFonts w:ascii="Arial" w:hAnsi="Arial" w:cs="Arial"/>
          <w:i/>
          <w:iCs/>
          <w:sz w:val="18"/>
          <w:szCs w:val="18"/>
          <w:vertAlign w:val="superscript"/>
        </w:rPr>
        <w:t>st</w:t>
      </w:r>
      <w:r w:rsidRPr="00C52B03">
        <w:rPr>
          <w:rFonts w:ascii="Arial" w:hAnsi="Arial" w:cs="Arial"/>
          <w:i/>
          <w:iCs/>
          <w:sz w:val="18"/>
          <w:szCs w:val="18"/>
        </w:rPr>
        <w:t xml:space="preserve"> Century</w:t>
      </w:r>
      <w:r w:rsidRPr="00C52B03">
        <w:rPr>
          <w:rFonts w:ascii="Arial" w:hAnsi="Arial" w:cs="Arial"/>
          <w:i/>
          <w:iCs/>
          <w:sz w:val="18"/>
          <w:szCs w:val="18"/>
        </w:rPr>
        <w:t xml:space="preserve">. </w:t>
      </w:r>
      <w:r w:rsidRPr="00C52B03">
        <w:rPr>
          <w:rFonts w:ascii="Arial" w:hAnsi="Arial" w:cs="Arial"/>
          <w:sz w:val="18"/>
          <w:szCs w:val="18"/>
        </w:rPr>
        <w:t>Oxford University Press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932033"/>
    <w:multiLevelType w:val="hybridMultilevel"/>
    <w:tmpl w:val="9EFC9DD0"/>
    <w:lvl w:ilvl="0" w:tplc="7E9A759E">
      <w:start w:val="10"/>
      <w:numFmt w:val="bullet"/>
      <w:lvlText w:val="—"/>
      <w:lvlJc w:val="left"/>
      <w:pPr>
        <w:ind w:left="720" w:hanging="360"/>
      </w:pPr>
      <w:rPr>
        <w:rFonts w:ascii="Arial" w:eastAsiaTheme="minorHAnsi" w:hAnsi="Arial" w:cs="Arial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B03"/>
    <w:rsid w:val="00C52B03"/>
    <w:rsid w:val="00F82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1644E454"/>
  <w15:chartTrackingRefBased/>
  <w15:docId w15:val="{CF62215B-0594-6444-BA97-F9BDB8248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C52B0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52B0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52B03"/>
    <w:rPr>
      <w:vertAlign w:val="superscript"/>
    </w:rPr>
  </w:style>
  <w:style w:type="paragraph" w:styleId="ListParagraph">
    <w:name w:val="List Paragraph"/>
    <w:basedOn w:val="Normal"/>
    <w:uiPriority w:val="34"/>
    <w:qFormat/>
    <w:rsid w:val="00C52B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528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825</Words>
  <Characters>4237</Characters>
  <Application>Microsoft Office Word</Application>
  <DocSecurity>0</DocSecurity>
  <Lines>83</Lines>
  <Paragraphs>16</Paragraphs>
  <ScaleCrop>false</ScaleCrop>
  <Company/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Eilis Searson</dc:creator>
  <cp:keywords/>
  <dc:description/>
  <cp:lastModifiedBy>Eilis Searson</cp:lastModifiedBy>
  <cp:revision>1</cp:revision>
  <dcterms:created xsi:type="dcterms:W3CDTF">2024-04-02T14:35:00Z</dcterms:created>
  <dcterms:modified xsi:type="dcterms:W3CDTF">2024-04-02T16:11:00Z</dcterms:modified>
</cp:coreProperties>
</file>