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1B458AF" w14:textId="53EA6AF0" w:rsidR="00C870EE" w:rsidRPr="00E442B1" w:rsidRDefault="00C870EE" w:rsidP="00C870EE">
      <w:pPr>
        <w:rPr>
          <w:rFonts w:ascii="Arial" w:hAnsi="Arial" w:cs="Arial"/>
          <w:b/>
          <w:bCs/>
          <w:color w:val="000000" w:themeColor="text1"/>
          <w:sz w:val="22"/>
          <w:szCs w:val="22"/>
        </w:rPr>
      </w:pPr>
      <w:r w:rsidRPr="00E442B1">
        <w:rPr>
          <w:rFonts w:ascii="Arial" w:hAnsi="Arial" w:cs="Arial"/>
          <w:b/>
          <w:bCs/>
          <w:color w:val="000000" w:themeColor="text1"/>
          <w:sz w:val="22"/>
          <w:szCs w:val="22"/>
        </w:rPr>
        <w:t xml:space="preserve">The charismatic lecturer: part </w:t>
      </w:r>
      <w:r w:rsidRPr="00E442B1">
        <w:rPr>
          <w:rFonts w:ascii="Arial" w:hAnsi="Arial" w:cs="Arial"/>
          <w:b/>
          <w:bCs/>
          <w:color w:val="000000" w:themeColor="text1"/>
          <w:sz w:val="22"/>
          <w:szCs w:val="22"/>
        </w:rPr>
        <w:t>2</w:t>
      </w:r>
      <w:r w:rsidRPr="00E442B1">
        <w:rPr>
          <w:rFonts w:ascii="Arial" w:hAnsi="Arial" w:cs="Arial"/>
          <w:b/>
          <w:bCs/>
          <w:color w:val="000000" w:themeColor="text1"/>
          <w:sz w:val="22"/>
          <w:szCs w:val="22"/>
        </w:rPr>
        <w:t xml:space="preserve"> [blog post]</w:t>
      </w:r>
    </w:p>
    <w:p w14:paraId="6EBAF036" w14:textId="77777777" w:rsidR="00C870EE" w:rsidRPr="00E442B1" w:rsidRDefault="00C870EE" w:rsidP="00C870EE">
      <w:pPr>
        <w:rPr>
          <w:rFonts w:ascii="Arial" w:hAnsi="Arial" w:cs="Arial"/>
          <w:color w:val="000000" w:themeColor="text1"/>
          <w:sz w:val="22"/>
          <w:szCs w:val="22"/>
        </w:rPr>
      </w:pPr>
    </w:p>
    <w:p w14:paraId="1CA852C5" w14:textId="5F0F6C56" w:rsidR="00C870EE" w:rsidRPr="00E442B1" w:rsidRDefault="00C870EE" w:rsidP="00C870EE">
      <w:pPr>
        <w:rPr>
          <w:rFonts w:ascii="Arial" w:hAnsi="Arial" w:cs="Arial"/>
          <w:color w:val="000000" w:themeColor="text1"/>
          <w:sz w:val="22"/>
          <w:szCs w:val="22"/>
        </w:rPr>
      </w:pPr>
      <w:r w:rsidRPr="00E442B1">
        <w:rPr>
          <w:rFonts w:ascii="Arial" w:hAnsi="Arial" w:cs="Arial"/>
          <w:color w:val="000000" w:themeColor="text1"/>
          <w:sz w:val="22"/>
          <w:szCs w:val="22"/>
        </w:rPr>
        <w:t xml:space="preserve">In </w:t>
      </w:r>
      <w:r w:rsidRPr="00E442B1">
        <w:rPr>
          <w:rFonts w:ascii="Arial" w:hAnsi="Arial" w:cs="Arial"/>
          <w:color w:val="000000" w:themeColor="text1"/>
          <w:sz w:val="22"/>
          <w:szCs w:val="22"/>
        </w:rPr>
        <w:t xml:space="preserve">the book Performance Society, published by </w:t>
      </w:r>
      <w:proofErr w:type="spellStart"/>
      <w:r w:rsidRPr="00E442B1">
        <w:rPr>
          <w:rFonts w:ascii="Arial" w:hAnsi="Arial" w:cs="Arial"/>
          <w:color w:val="000000" w:themeColor="text1"/>
          <w:sz w:val="22"/>
          <w:szCs w:val="22"/>
        </w:rPr>
        <w:t>Booksfromthefuture</w:t>
      </w:r>
      <w:proofErr w:type="spellEnd"/>
      <w:r w:rsidRPr="00E442B1">
        <w:rPr>
          <w:rFonts w:ascii="Arial" w:hAnsi="Arial" w:cs="Arial"/>
          <w:color w:val="000000" w:themeColor="text1"/>
          <w:sz w:val="22"/>
          <w:szCs w:val="22"/>
        </w:rPr>
        <w:t xml:space="preserve">, there is an essay by </w:t>
      </w:r>
      <w:proofErr w:type="spellStart"/>
      <w:r w:rsidRPr="00E442B1">
        <w:rPr>
          <w:rFonts w:ascii="Arial" w:hAnsi="Arial" w:cs="Arial"/>
          <w:color w:val="000000" w:themeColor="text1"/>
          <w:sz w:val="22"/>
          <w:szCs w:val="22"/>
        </w:rPr>
        <w:t>Merve</w:t>
      </w:r>
      <w:proofErr w:type="spellEnd"/>
      <w:r w:rsidRPr="00E442B1">
        <w:rPr>
          <w:rFonts w:ascii="Arial" w:hAnsi="Arial" w:cs="Arial"/>
          <w:color w:val="000000" w:themeColor="text1"/>
          <w:sz w:val="22"/>
          <w:szCs w:val="22"/>
        </w:rPr>
        <w:t xml:space="preserve"> </w:t>
      </w:r>
      <w:r w:rsidRPr="00E442B1">
        <w:rPr>
          <w:rFonts w:ascii="Arial" w:eastAsia="Times New Roman" w:hAnsi="Arial" w:cs="Arial"/>
          <w:color w:val="202122"/>
          <w:sz w:val="22"/>
          <w:szCs w:val="22"/>
          <w:shd w:val="clear" w:color="auto" w:fill="FFFFFF"/>
          <w:lang w:eastAsia="en-GB"/>
        </w:rPr>
        <w:t>Ü</w:t>
      </w:r>
      <w:r w:rsidRPr="00E442B1">
        <w:rPr>
          <w:rFonts w:ascii="Arial" w:hAnsi="Arial" w:cs="Arial"/>
          <w:color w:val="000000" w:themeColor="text1"/>
          <w:sz w:val="22"/>
          <w:szCs w:val="22"/>
        </w:rPr>
        <w:t xml:space="preserve">nsal titled </w:t>
      </w:r>
      <w:r w:rsidRPr="00E442B1">
        <w:rPr>
          <w:rFonts w:ascii="Arial" w:hAnsi="Arial" w:cs="Arial"/>
          <w:i/>
          <w:iCs/>
          <w:color w:val="000000" w:themeColor="text1"/>
          <w:sz w:val="22"/>
          <w:szCs w:val="22"/>
        </w:rPr>
        <w:t>Artistic Research as a Form of Performance</w:t>
      </w:r>
      <w:r w:rsidRPr="00E442B1">
        <w:rPr>
          <w:rFonts w:ascii="Arial" w:hAnsi="Arial" w:cs="Arial"/>
          <w:color w:val="000000" w:themeColor="text1"/>
          <w:sz w:val="22"/>
          <w:szCs w:val="22"/>
        </w:rPr>
        <w:t>.</w:t>
      </w:r>
      <w:r w:rsidRPr="00E442B1">
        <w:rPr>
          <w:rStyle w:val="FootnoteReference"/>
          <w:rFonts w:ascii="Arial" w:hAnsi="Arial" w:cs="Arial"/>
          <w:color w:val="000000" w:themeColor="text1"/>
          <w:sz w:val="22"/>
          <w:szCs w:val="22"/>
        </w:rPr>
        <w:footnoteReference w:id="1"/>
      </w:r>
      <w:r w:rsidRPr="00E442B1">
        <w:rPr>
          <w:rFonts w:ascii="Arial" w:hAnsi="Arial" w:cs="Arial"/>
          <w:color w:val="000000" w:themeColor="text1"/>
          <w:sz w:val="22"/>
          <w:szCs w:val="22"/>
        </w:rPr>
        <w:t xml:space="preserve"> The title of this essay is almost seductively self-explanatory, as for me, it highlights the individuality, subjectivity and performativity involved in understanding ‘art’ and ‘research’ as a subject. </w:t>
      </w:r>
    </w:p>
    <w:p w14:paraId="6DBBFD6D" w14:textId="61B22160" w:rsidR="00C870EE" w:rsidRPr="00E442B1" w:rsidRDefault="00C870EE" w:rsidP="00C870EE">
      <w:pPr>
        <w:rPr>
          <w:rFonts w:ascii="Arial" w:hAnsi="Arial" w:cs="Arial"/>
          <w:color w:val="000000" w:themeColor="text1"/>
          <w:sz w:val="22"/>
          <w:szCs w:val="22"/>
        </w:rPr>
      </w:pPr>
    </w:p>
    <w:p w14:paraId="09B75D89" w14:textId="51486E8B" w:rsidR="00C870EE" w:rsidRPr="00E442B1" w:rsidRDefault="00C870EE" w:rsidP="00C870EE">
      <w:pPr>
        <w:rPr>
          <w:rFonts w:ascii="Arial" w:hAnsi="Arial" w:cs="Arial"/>
          <w:color w:val="000000" w:themeColor="text1"/>
          <w:sz w:val="22"/>
          <w:szCs w:val="22"/>
        </w:rPr>
      </w:pPr>
      <w:r w:rsidRPr="00E442B1">
        <w:rPr>
          <w:rFonts w:ascii="Arial" w:hAnsi="Arial" w:cs="Arial"/>
          <w:color w:val="000000" w:themeColor="text1"/>
          <w:sz w:val="22"/>
          <w:szCs w:val="22"/>
        </w:rPr>
        <w:t xml:space="preserve">“The word </w:t>
      </w:r>
      <w:proofErr w:type="spellStart"/>
      <w:r w:rsidRPr="00E442B1">
        <w:rPr>
          <w:rFonts w:ascii="Arial" w:hAnsi="Arial" w:cs="Arial"/>
          <w:i/>
          <w:iCs/>
          <w:color w:val="000000" w:themeColor="text1"/>
          <w:sz w:val="22"/>
          <w:szCs w:val="22"/>
        </w:rPr>
        <w:t>tuhaf</w:t>
      </w:r>
      <w:proofErr w:type="spellEnd"/>
      <w:r w:rsidRPr="00E442B1">
        <w:rPr>
          <w:rFonts w:ascii="Arial" w:hAnsi="Arial" w:cs="Arial"/>
          <w:i/>
          <w:iCs/>
          <w:color w:val="000000" w:themeColor="text1"/>
          <w:sz w:val="22"/>
          <w:szCs w:val="22"/>
        </w:rPr>
        <w:t xml:space="preserve"> </w:t>
      </w:r>
      <w:r w:rsidRPr="00E442B1">
        <w:rPr>
          <w:rFonts w:ascii="Arial" w:hAnsi="Arial" w:cs="Arial"/>
          <w:color w:val="000000" w:themeColor="text1"/>
          <w:sz w:val="22"/>
          <w:szCs w:val="22"/>
        </w:rPr>
        <w:t>in Turkish — translated as strange, weird, peculiar, funny, bizarre, in that order — is a word that a friend uses often to describe many things ranging from girls’ outfits to contemporary art to inappropriate behaviour. Thinking about this word, I wonder about specificity. Or rather, specificity in language, as I’m interested in the relationship between description and that which is described and how one can be both loyal and subjective. With loyalty, I’m referring to that relationship between the description and the described — perhaps, the gap between understanding, perception, created by the description and that which is described is exactly where the subjectivity of the speaker resides. In other words, what is the potentiality of subjectivity created by the very act of description?”</w:t>
      </w:r>
      <w:r w:rsidRPr="00E442B1">
        <w:rPr>
          <w:rStyle w:val="FootnoteReference"/>
          <w:rFonts w:ascii="Arial" w:hAnsi="Arial" w:cs="Arial"/>
          <w:color w:val="000000" w:themeColor="text1"/>
          <w:sz w:val="22"/>
          <w:szCs w:val="22"/>
        </w:rPr>
        <w:footnoteReference w:id="2"/>
      </w:r>
    </w:p>
    <w:p w14:paraId="62C5A6BB" w14:textId="539A44C6" w:rsidR="00E442B1" w:rsidRPr="00E442B1" w:rsidRDefault="00E442B1" w:rsidP="00C870EE">
      <w:pPr>
        <w:rPr>
          <w:rFonts w:ascii="Arial" w:hAnsi="Arial" w:cs="Arial"/>
          <w:color w:val="000000" w:themeColor="text1"/>
          <w:sz w:val="22"/>
          <w:szCs w:val="22"/>
        </w:rPr>
      </w:pPr>
    </w:p>
    <w:p w14:paraId="604D4EE6" w14:textId="67A5CB92" w:rsidR="00E442B1" w:rsidRPr="00E442B1" w:rsidRDefault="00E442B1" w:rsidP="00C870EE">
      <w:pPr>
        <w:rPr>
          <w:rFonts w:ascii="Arial" w:hAnsi="Arial" w:cs="Arial"/>
          <w:color w:val="000000" w:themeColor="text1"/>
          <w:sz w:val="22"/>
          <w:szCs w:val="22"/>
        </w:rPr>
      </w:pPr>
      <w:r w:rsidRPr="00E442B1">
        <w:rPr>
          <w:rFonts w:ascii="Arial" w:hAnsi="Arial" w:cs="Arial"/>
          <w:color w:val="000000" w:themeColor="text1"/>
          <w:sz w:val="22"/>
          <w:szCs w:val="22"/>
        </w:rPr>
        <w:t xml:space="preserve">I like the idea that there is ‘potentiality’ in both understanding and misunderstanding. </w:t>
      </w:r>
    </w:p>
    <w:p w14:paraId="082C0378" w14:textId="1B8DBA02" w:rsidR="00E442B1" w:rsidRPr="00E442B1" w:rsidRDefault="00E442B1" w:rsidP="00C870EE">
      <w:pPr>
        <w:rPr>
          <w:rFonts w:ascii="Arial" w:hAnsi="Arial" w:cs="Arial"/>
          <w:color w:val="000000" w:themeColor="text1"/>
          <w:sz w:val="22"/>
          <w:szCs w:val="22"/>
        </w:rPr>
      </w:pPr>
    </w:p>
    <w:p w14:paraId="2725A709" w14:textId="0B591950" w:rsidR="00E442B1" w:rsidRPr="00E442B1" w:rsidRDefault="00E442B1" w:rsidP="00C870EE">
      <w:pPr>
        <w:rPr>
          <w:rFonts w:ascii="Arial" w:eastAsia="Times New Roman" w:hAnsi="Arial" w:cs="Arial"/>
          <w:sz w:val="22"/>
          <w:szCs w:val="22"/>
          <w:lang w:eastAsia="en-GB"/>
        </w:rPr>
      </w:pPr>
      <w:r w:rsidRPr="00E442B1">
        <w:rPr>
          <w:rFonts w:ascii="Arial" w:eastAsia="Times New Roman" w:hAnsi="Arial" w:cs="Arial"/>
          <w:sz w:val="22"/>
          <w:szCs w:val="22"/>
          <w:lang w:eastAsia="en-GB"/>
        </w:rPr>
        <w:t xml:space="preserve">When reading in support of my case studies for this unit, I encountered what felt like a more didactic view of the tutor/tutee dynamic; looking at the social learning theory of Albert Bandura, who </w:t>
      </w:r>
      <w:r w:rsidRPr="00E442B1">
        <w:rPr>
          <w:rFonts w:ascii="Arial" w:hAnsi="Arial" w:cs="Arial"/>
          <w:color w:val="000000" w:themeColor="text1"/>
          <w:sz w:val="22"/>
          <w:szCs w:val="22"/>
          <w:shd w:val="clear" w:color="auto" w:fill="FCFCFC"/>
        </w:rPr>
        <w:t>proposed that learning takes place within social context through observation, imitation and modelling</w:t>
      </w:r>
      <w:r w:rsidRPr="00E442B1">
        <w:rPr>
          <w:rFonts w:ascii="Arial" w:hAnsi="Arial" w:cs="Arial"/>
          <w:color w:val="000000" w:themeColor="text1"/>
          <w:sz w:val="22"/>
          <w:szCs w:val="22"/>
          <w:shd w:val="clear" w:color="auto" w:fill="FCFCFC"/>
        </w:rPr>
        <w:t>. Matt McClain’s research on ‘the demonstration’ takes this view into the design classroom:</w:t>
      </w:r>
      <w:r w:rsidRPr="00E442B1">
        <w:rPr>
          <w:rStyle w:val="FootnoteReference"/>
          <w:rFonts w:ascii="Arial" w:hAnsi="Arial" w:cs="Arial"/>
          <w:color w:val="000000" w:themeColor="text1"/>
          <w:sz w:val="22"/>
          <w:szCs w:val="22"/>
          <w:shd w:val="clear" w:color="auto" w:fill="FCFCFC"/>
        </w:rPr>
        <w:footnoteReference w:id="3"/>
      </w:r>
    </w:p>
    <w:p w14:paraId="1A76850D" w14:textId="4FDB025D" w:rsidR="00E442B1" w:rsidRPr="00E442B1" w:rsidRDefault="00E442B1" w:rsidP="00C870EE">
      <w:pPr>
        <w:rPr>
          <w:rFonts w:ascii="Arial" w:eastAsia="Times New Roman" w:hAnsi="Arial" w:cs="Arial"/>
          <w:sz w:val="22"/>
          <w:szCs w:val="22"/>
          <w:lang w:eastAsia="en-GB"/>
        </w:rPr>
      </w:pPr>
    </w:p>
    <w:p w14:paraId="1FF67DEF" w14:textId="094D6BCF" w:rsidR="00E442B1" w:rsidRPr="00E442B1" w:rsidRDefault="00E442B1" w:rsidP="00C870EE">
      <w:pPr>
        <w:rPr>
          <w:rFonts w:ascii="Arial" w:eastAsia="Times New Roman" w:hAnsi="Arial" w:cs="Arial"/>
          <w:sz w:val="22"/>
          <w:szCs w:val="22"/>
          <w:lang w:eastAsia="en-GB"/>
        </w:rPr>
      </w:pPr>
      <w:r w:rsidRPr="00E442B1">
        <w:rPr>
          <w:rFonts w:ascii="Arial" w:hAnsi="Arial" w:cs="Arial"/>
          <w:color w:val="000000" w:themeColor="text1"/>
          <w:sz w:val="22"/>
          <w:szCs w:val="22"/>
        </w:rPr>
        <w:t>“</w:t>
      </w:r>
      <w:r w:rsidRPr="00E442B1">
        <w:rPr>
          <w:rFonts w:ascii="Arial" w:hAnsi="Arial" w:cs="Arial"/>
          <w:color w:val="000000" w:themeColor="text1"/>
          <w:sz w:val="22"/>
          <w:szCs w:val="22"/>
          <w:shd w:val="clear" w:color="auto" w:fill="FCFCFC"/>
        </w:rPr>
        <w:t>In Design, teacher modelling utilises the social interactions between teacher and learner to support increasing autonomy; with the intention that learners both </w:t>
      </w:r>
      <w:r w:rsidRPr="00E442B1">
        <w:rPr>
          <w:rFonts w:ascii="Arial" w:hAnsi="Arial" w:cs="Arial"/>
          <w:color w:val="000000" w:themeColor="text1"/>
          <w:sz w:val="22"/>
          <w:szCs w:val="22"/>
        </w:rPr>
        <w:t>know about</w:t>
      </w:r>
      <w:r w:rsidRPr="00E442B1">
        <w:rPr>
          <w:rFonts w:ascii="Arial" w:hAnsi="Arial" w:cs="Arial"/>
          <w:color w:val="000000" w:themeColor="text1"/>
          <w:sz w:val="22"/>
          <w:szCs w:val="22"/>
          <w:shd w:val="clear" w:color="auto" w:fill="FCFCFC"/>
        </w:rPr>
        <w:t> (acquire) a process being demonstrated and are able to demonstrate (perform) that they </w:t>
      </w:r>
      <w:r w:rsidRPr="00E442B1">
        <w:rPr>
          <w:rFonts w:ascii="Arial" w:hAnsi="Arial" w:cs="Arial"/>
          <w:color w:val="000000" w:themeColor="text1"/>
          <w:sz w:val="22"/>
          <w:szCs w:val="22"/>
        </w:rPr>
        <w:t>know how</w:t>
      </w:r>
      <w:r w:rsidRPr="00E442B1">
        <w:rPr>
          <w:rFonts w:ascii="Arial" w:hAnsi="Arial" w:cs="Arial"/>
          <w:color w:val="000000" w:themeColor="text1"/>
          <w:sz w:val="22"/>
          <w:szCs w:val="22"/>
          <w:shd w:val="clear" w:color="auto" w:fill="FCFCFC"/>
        </w:rPr>
        <w:t> to apply the knowledge.”</w:t>
      </w:r>
      <w:r w:rsidRPr="00E442B1">
        <w:rPr>
          <w:rStyle w:val="FootnoteReference"/>
          <w:rFonts w:ascii="Arial" w:hAnsi="Arial" w:cs="Arial"/>
          <w:color w:val="000000" w:themeColor="text1"/>
          <w:sz w:val="22"/>
          <w:szCs w:val="22"/>
          <w:shd w:val="clear" w:color="auto" w:fill="FCFCFC"/>
        </w:rPr>
        <w:footnoteReference w:id="4"/>
      </w:r>
      <w:r w:rsidRPr="00E442B1">
        <w:rPr>
          <w:rFonts w:ascii="Arial" w:hAnsi="Arial" w:cs="Arial"/>
          <w:i/>
          <w:iCs/>
          <w:color w:val="000000" w:themeColor="text1"/>
          <w:sz w:val="22"/>
          <w:szCs w:val="22"/>
          <w:shd w:val="clear" w:color="auto" w:fill="FCFCFC"/>
        </w:rPr>
        <w:t> </w:t>
      </w:r>
      <w:r w:rsidRPr="00E442B1">
        <w:rPr>
          <w:rFonts w:ascii="Arial" w:hAnsi="Arial" w:cs="Arial"/>
          <w:i/>
          <w:iCs/>
          <w:color w:val="000000" w:themeColor="text1"/>
          <w:sz w:val="22"/>
          <w:szCs w:val="22"/>
          <w:shd w:val="clear" w:color="auto" w:fill="FCFCFC"/>
        </w:rPr>
        <w:br/>
      </w:r>
    </w:p>
    <w:p w14:paraId="7A2D9174" w14:textId="66923D9B" w:rsidR="00E442B1" w:rsidRPr="00E442B1" w:rsidRDefault="00E442B1" w:rsidP="00C870EE">
      <w:pPr>
        <w:rPr>
          <w:rFonts w:ascii="Arial" w:eastAsia="Times New Roman" w:hAnsi="Arial" w:cs="Arial"/>
          <w:sz w:val="22"/>
          <w:szCs w:val="22"/>
          <w:lang w:eastAsia="en-GB"/>
        </w:rPr>
      </w:pPr>
      <w:r w:rsidRPr="00E442B1">
        <w:rPr>
          <w:rFonts w:ascii="Arial" w:eastAsia="Times New Roman" w:hAnsi="Arial" w:cs="Arial"/>
          <w:sz w:val="22"/>
          <w:szCs w:val="22"/>
          <w:lang w:eastAsia="en-GB"/>
        </w:rPr>
        <w:t xml:space="preserve">And yet, there’s that word </w:t>
      </w:r>
      <w:r w:rsidRPr="00E442B1">
        <w:rPr>
          <w:rFonts w:ascii="Arial" w:eastAsia="Times New Roman" w:hAnsi="Arial" w:cs="Arial"/>
          <w:i/>
          <w:iCs/>
          <w:sz w:val="22"/>
          <w:szCs w:val="22"/>
          <w:lang w:eastAsia="en-GB"/>
        </w:rPr>
        <w:t>perform</w:t>
      </w:r>
      <w:r w:rsidRPr="00E442B1">
        <w:rPr>
          <w:rFonts w:ascii="Arial" w:eastAsia="Times New Roman" w:hAnsi="Arial" w:cs="Arial"/>
          <w:sz w:val="22"/>
          <w:szCs w:val="22"/>
          <w:lang w:eastAsia="en-GB"/>
        </w:rPr>
        <w:t xml:space="preserve"> again! There’s something about McClain’s choice, both grammatically (the brackets) and linguistically (not fully committing to the idea that the students are </w:t>
      </w:r>
      <w:proofErr w:type="gramStart"/>
      <w:r w:rsidRPr="00E442B1">
        <w:rPr>
          <w:rFonts w:ascii="Arial" w:eastAsia="Times New Roman" w:hAnsi="Arial" w:cs="Arial"/>
          <w:sz w:val="22"/>
          <w:szCs w:val="22"/>
          <w:lang w:eastAsia="en-GB"/>
        </w:rPr>
        <w:t>actually demonstrating</w:t>
      </w:r>
      <w:proofErr w:type="gramEnd"/>
      <w:r w:rsidRPr="00E442B1">
        <w:rPr>
          <w:rFonts w:ascii="Arial" w:eastAsia="Times New Roman" w:hAnsi="Arial" w:cs="Arial"/>
          <w:sz w:val="22"/>
          <w:szCs w:val="22"/>
          <w:lang w:eastAsia="en-GB"/>
        </w:rPr>
        <w:t xml:space="preserve"> knowledge — perhaps they are merely performing knowledge at this stage) that I find quite exciting and quite problematic at the same time.</w:t>
      </w:r>
    </w:p>
    <w:p w14:paraId="059E0E1A" w14:textId="1B8FBDAF" w:rsidR="00E442B1" w:rsidRPr="00E442B1" w:rsidRDefault="00E442B1" w:rsidP="00C870EE">
      <w:pPr>
        <w:rPr>
          <w:rFonts w:ascii="Arial" w:eastAsia="Times New Roman" w:hAnsi="Arial" w:cs="Arial"/>
          <w:sz w:val="22"/>
          <w:szCs w:val="22"/>
          <w:lang w:eastAsia="en-GB"/>
        </w:rPr>
      </w:pPr>
    </w:p>
    <w:p w14:paraId="746CABED" w14:textId="1D545598" w:rsidR="00E442B1" w:rsidRPr="00E442B1" w:rsidRDefault="00E442B1" w:rsidP="00C870EE">
      <w:pPr>
        <w:rPr>
          <w:rFonts w:ascii="Arial" w:eastAsia="Times New Roman" w:hAnsi="Arial" w:cs="Arial"/>
          <w:sz w:val="22"/>
          <w:szCs w:val="22"/>
          <w:lang w:eastAsia="en-GB"/>
        </w:rPr>
      </w:pPr>
      <w:r w:rsidRPr="00E442B1">
        <w:rPr>
          <w:rFonts w:ascii="Arial" w:eastAsia="Times New Roman" w:hAnsi="Arial" w:cs="Arial"/>
          <w:sz w:val="22"/>
          <w:szCs w:val="22"/>
          <w:lang w:eastAsia="en-GB"/>
        </w:rPr>
        <w:t>Artists have been experimenting with performance lectures (as a sort of sub-genre of performance art) since the middle of the 20</w:t>
      </w:r>
      <w:r w:rsidRPr="00E442B1">
        <w:rPr>
          <w:rFonts w:ascii="Arial" w:eastAsia="Times New Roman" w:hAnsi="Arial" w:cs="Arial"/>
          <w:sz w:val="22"/>
          <w:szCs w:val="22"/>
          <w:vertAlign w:val="superscript"/>
          <w:lang w:eastAsia="en-GB"/>
        </w:rPr>
        <w:t>th</w:t>
      </w:r>
      <w:r w:rsidRPr="00E442B1">
        <w:rPr>
          <w:rFonts w:ascii="Arial" w:eastAsia="Times New Roman" w:hAnsi="Arial" w:cs="Arial"/>
          <w:sz w:val="22"/>
          <w:szCs w:val="22"/>
          <w:lang w:eastAsia="en-GB"/>
        </w:rPr>
        <w:t xml:space="preserve"> century. Here’s a nice excerpt from a performance lecture script by John Cage (1959):</w:t>
      </w:r>
      <w:r w:rsidRPr="00E442B1">
        <w:rPr>
          <w:rStyle w:val="FootnoteReference"/>
          <w:rFonts w:ascii="Arial" w:eastAsia="Times New Roman" w:hAnsi="Arial" w:cs="Arial"/>
          <w:sz w:val="22"/>
          <w:szCs w:val="22"/>
          <w:lang w:eastAsia="en-GB"/>
        </w:rPr>
        <w:footnoteReference w:id="5"/>
      </w:r>
    </w:p>
    <w:p w14:paraId="78B3F526" w14:textId="2AD0B0C3" w:rsidR="00E442B1" w:rsidRPr="00E442B1" w:rsidRDefault="00E442B1" w:rsidP="00C870EE">
      <w:pPr>
        <w:rPr>
          <w:rFonts w:ascii="Arial" w:eastAsia="Times New Roman" w:hAnsi="Arial" w:cs="Arial"/>
          <w:sz w:val="22"/>
          <w:szCs w:val="22"/>
          <w:lang w:eastAsia="en-GB"/>
        </w:rPr>
      </w:pPr>
    </w:p>
    <w:p w14:paraId="2319E95B" w14:textId="3651C84C" w:rsidR="00E442B1" w:rsidRPr="00E442B1" w:rsidRDefault="00E442B1" w:rsidP="00C870EE">
      <w:pPr>
        <w:rPr>
          <w:rFonts w:ascii="Arial" w:eastAsia="Times New Roman" w:hAnsi="Arial" w:cs="Arial"/>
          <w:sz w:val="22"/>
          <w:szCs w:val="22"/>
          <w:lang w:eastAsia="en-GB"/>
        </w:rPr>
      </w:pPr>
      <w:r w:rsidRPr="00E442B1">
        <w:rPr>
          <w:rFonts w:ascii="Arial" w:eastAsia="Times New Roman" w:hAnsi="Arial" w:cs="Arial"/>
          <w:noProof/>
          <w:sz w:val="22"/>
          <w:szCs w:val="22"/>
          <w:lang w:eastAsia="en-GB"/>
        </w:rPr>
        <w:lastRenderedPageBreak/>
        <w:drawing>
          <wp:inline distT="0" distB="0" distL="0" distR="0" wp14:anchorId="5FA7E1B6" wp14:editId="497FDC30">
            <wp:extent cx="5731510" cy="4716145"/>
            <wp:effectExtent l="0" t="0" r="0" b="0"/>
            <wp:docPr id="1" name="Picture 1" descr="A page of a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age of a book&#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31510" cy="4716145"/>
                    </a:xfrm>
                    <a:prstGeom prst="rect">
                      <a:avLst/>
                    </a:prstGeom>
                  </pic:spPr>
                </pic:pic>
              </a:graphicData>
            </a:graphic>
          </wp:inline>
        </w:drawing>
      </w:r>
      <w:r w:rsidRPr="00E442B1">
        <w:rPr>
          <w:rFonts w:ascii="Arial" w:eastAsia="Times New Roman" w:hAnsi="Arial" w:cs="Arial"/>
          <w:sz w:val="22"/>
          <w:szCs w:val="22"/>
          <w:lang w:eastAsia="en-GB"/>
        </w:rPr>
        <w:br/>
      </w:r>
      <w:r w:rsidRPr="00E442B1">
        <w:rPr>
          <w:rFonts w:ascii="Arial" w:eastAsia="Times New Roman" w:hAnsi="Arial" w:cs="Arial"/>
          <w:sz w:val="22"/>
          <w:szCs w:val="22"/>
          <w:lang w:eastAsia="en-GB"/>
        </w:rPr>
        <w:br/>
        <w:t>(Full text available at: &lt;</w:t>
      </w:r>
      <w:hyperlink r:id="rId8" w:history="1">
        <w:r w:rsidRPr="00E442B1">
          <w:rPr>
            <w:rStyle w:val="Hyperlink"/>
            <w:rFonts w:ascii="Arial" w:eastAsia="Times New Roman" w:hAnsi="Arial" w:cs="Arial"/>
            <w:sz w:val="22"/>
            <w:szCs w:val="22"/>
            <w:lang w:eastAsia="en-GB"/>
          </w:rPr>
          <w:t>https://seansturm.files.wordpress.com/2012/09/john-cage-lecture-on-nothing.pdf</w:t>
        </w:r>
      </w:hyperlink>
      <w:r w:rsidRPr="00E442B1">
        <w:rPr>
          <w:rFonts w:ascii="Arial" w:eastAsia="Times New Roman" w:hAnsi="Arial" w:cs="Arial"/>
          <w:sz w:val="22"/>
          <w:szCs w:val="22"/>
          <w:lang w:eastAsia="en-GB"/>
        </w:rPr>
        <w:t>&gt; Accessed April 2024)</w:t>
      </w:r>
    </w:p>
    <w:p w14:paraId="5007F792" w14:textId="7A7DEA8A" w:rsidR="00E442B1" w:rsidRPr="00E442B1" w:rsidRDefault="00E442B1" w:rsidP="00C870EE">
      <w:pPr>
        <w:rPr>
          <w:rFonts w:ascii="Arial" w:eastAsia="Times New Roman" w:hAnsi="Arial" w:cs="Arial"/>
          <w:sz w:val="22"/>
          <w:szCs w:val="22"/>
          <w:lang w:eastAsia="en-GB"/>
        </w:rPr>
      </w:pPr>
    </w:p>
    <w:p w14:paraId="4B9BB5A8" w14:textId="3FEE4BD5" w:rsidR="00E442B1" w:rsidRPr="00E442B1" w:rsidRDefault="00E442B1" w:rsidP="00C870EE">
      <w:pPr>
        <w:rPr>
          <w:rFonts w:ascii="Arial" w:eastAsia="Times New Roman" w:hAnsi="Arial" w:cs="Arial"/>
          <w:sz w:val="22"/>
          <w:szCs w:val="22"/>
          <w:lang w:eastAsia="en-GB"/>
        </w:rPr>
      </w:pPr>
      <w:r w:rsidRPr="00E442B1">
        <w:rPr>
          <w:rFonts w:ascii="Arial" w:eastAsia="Times New Roman" w:hAnsi="Arial" w:cs="Arial"/>
          <w:sz w:val="22"/>
          <w:szCs w:val="22"/>
          <w:lang w:eastAsia="en-GB"/>
        </w:rPr>
        <w:t xml:space="preserve">In </w:t>
      </w:r>
      <w:r w:rsidRPr="00E442B1">
        <w:rPr>
          <w:rFonts w:ascii="Arial" w:eastAsia="Times New Roman" w:hAnsi="Arial" w:cs="Arial"/>
          <w:i/>
          <w:iCs/>
          <w:sz w:val="22"/>
          <w:szCs w:val="22"/>
          <w:lang w:eastAsia="en-GB"/>
        </w:rPr>
        <w:t>Performance Society</w:t>
      </w:r>
      <w:r w:rsidRPr="00E442B1">
        <w:rPr>
          <w:rFonts w:ascii="Arial" w:eastAsia="Times New Roman" w:hAnsi="Arial" w:cs="Arial"/>
          <w:sz w:val="22"/>
          <w:szCs w:val="22"/>
          <w:lang w:eastAsia="en-GB"/>
        </w:rPr>
        <w:t>,</w:t>
      </w:r>
      <w:r w:rsidRPr="00E442B1">
        <w:rPr>
          <w:rStyle w:val="FootnoteReference"/>
          <w:rFonts w:ascii="Arial" w:eastAsia="Times New Roman" w:hAnsi="Arial" w:cs="Arial"/>
          <w:sz w:val="22"/>
          <w:szCs w:val="22"/>
          <w:lang w:eastAsia="en-GB"/>
        </w:rPr>
        <w:footnoteReference w:id="6"/>
      </w:r>
      <w:r w:rsidRPr="00E442B1">
        <w:rPr>
          <w:rFonts w:ascii="Arial" w:eastAsia="Times New Roman" w:hAnsi="Arial" w:cs="Arial"/>
          <w:sz w:val="22"/>
          <w:szCs w:val="22"/>
          <w:lang w:eastAsia="en-GB"/>
        </w:rPr>
        <w:t xml:space="preserve"> there is an essay on the genre of performance lectures, by an artist called Jacob </w:t>
      </w:r>
      <w:proofErr w:type="spellStart"/>
      <w:r w:rsidRPr="00E442B1">
        <w:rPr>
          <w:rFonts w:ascii="Arial" w:eastAsia="Times New Roman" w:hAnsi="Arial" w:cs="Arial"/>
          <w:sz w:val="22"/>
          <w:szCs w:val="22"/>
          <w:lang w:eastAsia="en-GB"/>
        </w:rPr>
        <w:t>Rowlinson</w:t>
      </w:r>
      <w:proofErr w:type="spellEnd"/>
      <w:r w:rsidRPr="00E442B1">
        <w:rPr>
          <w:rFonts w:ascii="Arial" w:eastAsia="Times New Roman" w:hAnsi="Arial" w:cs="Arial"/>
          <w:sz w:val="22"/>
          <w:szCs w:val="22"/>
          <w:lang w:eastAsia="en-GB"/>
        </w:rPr>
        <w:t xml:space="preserve">, that discusses the importance of making mistakes within the genre. </w:t>
      </w:r>
    </w:p>
    <w:p w14:paraId="274CD64F" w14:textId="49C665D9" w:rsidR="00E442B1" w:rsidRPr="00E442B1" w:rsidRDefault="00E442B1" w:rsidP="00C870EE">
      <w:pPr>
        <w:rPr>
          <w:rFonts w:ascii="Arial" w:eastAsia="Times New Roman" w:hAnsi="Arial" w:cs="Arial"/>
          <w:sz w:val="22"/>
          <w:szCs w:val="22"/>
          <w:lang w:eastAsia="en-GB"/>
        </w:rPr>
      </w:pPr>
    </w:p>
    <w:p w14:paraId="5B3E04CE" w14:textId="1C5E5382" w:rsidR="00E442B1" w:rsidRPr="00E442B1" w:rsidRDefault="00E442B1" w:rsidP="00C870EE">
      <w:pPr>
        <w:rPr>
          <w:rFonts w:ascii="Arial" w:eastAsia="Times New Roman" w:hAnsi="Arial" w:cs="Arial"/>
          <w:sz w:val="22"/>
          <w:szCs w:val="22"/>
          <w:lang w:eastAsia="en-GB"/>
        </w:rPr>
      </w:pPr>
      <w:r w:rsidRPr="00E442B1">
        <w:rPr>
          <w:rFonts w:ascii="Arial" w:eastAsia="Times New Roman" w:hAnsi="Arial" w:cs="Arial"/>
          <w:sz w:val="22"/>
          <w:szCs w:val="22"/>
          <w:lang w:eastAsia="en-GB"/>
        </w:rPr>
        <w:t xml:space="preserve">“For me, in embracing the performative, one is also actively encouraging moments of improvisation and spontaneous physical </w:t>
      </w:r>
      <w:proofErr w:type="spellStart"/>
      <w:r w:rsidRPr="00E442B1">
        <w:rPr>
          <w:rFonts w:ascii="Arial" w:eastAsia="Times New Roman" w:hAnsi="Arial" w:cs="Arial"/>
          <w:sz w:val="22"/>
          <w:szCs w:val="22"/>
          <w:lang w:eastAsia="en-GB"/>
        </w:rPr>
        <w:t>descision</w:t>
      </w:r>
      <w:proofErr w:type="spellEnd"/>
      <w:r w:rsidRPr="00E442B1">
        <w:rPr>
          <w:rFonts w:ascii="Arial" w:eastAsia="Times New Roman" w:hAnsi="Arial" w:cs="Arial"/>
          <w:sz w:val="22"/>
          <w:szCs w:val="22"/>
          <w:lang w:eastAsia="en-GB"/>
        </w:rPr>
        <w:t xml:space="preserve">-making, which force the viewer (perhaps even more than with installations, multimedia video works, etc.) into drawing varied responses to the work. </w:t>
      </w:r>
      <w:proofErr w:type="gramStart"/>
      <w:r w:rsidRPr="00E442B1">
        <w:rPr>
          <w:rFonts w:ascii="Arial" w:eastAsia="Times New Roman" w:hAnsi="Arial" w:cs="Arial"/>
          <w:sz w:val="22"/>
          <w:szCs w:val="22"/>
          <w:lang w:eastAsia="en-GB"/>
        </w:rPr>
        <w:t>With this in mind, repeating</w:t>
      </w:r>
      <w:proofErr w:type="gramEnd"/>
      <w:r w:rsidRPr="00E442B1">
        <w:rPr>
          <w:rFonts w:ascii="Arial" w:eastAsia="Times New Roman" w:hAnsi="Arial" w:cs="Arial"/>
          <w:sz w:val="22"/>
          <w:szCs w:val="22"/>
          <w:lang w:eastAsia="en-GB"/>
        </w:rPr>
        <w:t xml:space="preserve"> a performance lecture is not to travel over the same territory or polish a hypothetically ‘perfect’ version, but to purposefully un-refine, destroy, refresh, omit, include, discover, and uncover for oneself what one is talking about.”</w:t>
      </w:r>
      <w:r w:rsidRPr="00E442B1">
        <w:rPr>
          <w:rStyle w:val="FootnoteReference"/>
          <w:rFonts w:ascii="Arial" w:eastAsia="Times New Roman" w:hAnsi="Arial" w:cs="Arial"/>
          <w:sz w:val="22"/>
          <w:szCs w:val="22"/>
          <w:lang w:eastAsia="en-GB"/>
        </w:rPr>
        <w:footnoteReference w:id="7"/>
      </w:r>
    </w:p>
    <w:p w14:paraId="72ADD7A0" w14:textId="12360E97" w:rsidR="00E442B1" w:rsidRPr="00E442B1" w:rsidRDefault="00E442B1" w:rsidP="00C870EE">
      <w:pPr>
        <w:rPr>
          <w:rFonts w:ascii="Arial" w:eastAsia="Times New Roman" w:hAnsi="Arial" w:cs="Arial"/>
          <w:sz w:val="22"/>
          <w:szCs w:val="22"/>
          <w:lang w:eastAsia="en-GB"/>
        </w:rPr>
      </w:pPr>
    </w:p>
    <w:p w14:paraId="20F833E9" w14:textId="715917F2" w:rsidR="00E442B1" w:rsidRPr="00E442B1" w:rsidRDefault="00E442B1" w:rsidP="00C870EE">
      <w:pPr>
        <w:rPr>
          <w:rFonts w:ascii="Arial" w:eastAsia="Times New Roman" w:hAnsi="Arial" w:cs="Arial"/>
          <w:sz w:val="22"/>
          <w:szCs w:val="22"/>
          <w:lang w:eastAsia="en-GB"/>
        </w:rPr>
      </w:pPr>
      <w:r w:rsidRPr="00E442B1">
        <w:rPr>
          <w:rFonts w:ascii="Arial" w:eastAsia="Times New Roman" w:hAnsi="Arial" w:cs="Arial"/>
          <w:sz w:val="22"/>
          <w:szCs w:val="22"/>
          <w:lang w:eastAsia="en-GB"/>
        </w:rPr>
        <w:t xml:space="preserve">Of course, a performance lecture as an art form is rarely concerned with imparting wisdom or even creating an understanding in its listeners, unlike a lecture situated within the University. Even so, this quote reminds me of a moment within my own arts education </w:t>
      </w:r>
      <w:r w:rsidRPr="00E442B1">
        <w:rPr>
          <w:rFonts w:ascii="Arial" w:eastAsia="Times New Roman" w:hAnsi="Arial" w:cs="Arial"/>
          <w:sz w:val="22"/>
          <w:szCs w:val="22"/>
          <w:lang w:eastAsia="en-GB"/>
        </w:rPr>
        <w:t>which felt like an important one</w:t>
      </w:r>
      <w:r w:rsidRPr="00E442B1">
        <w:rPr>
          <w:rFonts w:ascii="Arial" w:eastAsia="Times New Roman" w:hAnsi="Arial" w:cs="Arial"/>
          <w:sz w:val="22"/>
          <w:szCs w:val="22"/>
          <w:lang w:eastAsia="en-GB"/>
        </w:rPr>
        <w:t xml:space="preserve">. Throughout my MA at the Royal College of Art, once a month I would attend a session called a ‘sound seminar’. The rules of this session were strict — nobody was allowed to talk, nobody was allowed to use their phones, and there was no </w:t>
      </w:r>
      <w:r w:rsidRPr="00E442B1">
        <w:rPr>
          <w:rFonts w:ascii="Arial" w:eastAsia="Times New Roman" w:hAnsi="Arial" w:cs="Arial"/>
          <w:sz w:val="22"/>
          <w:szCs w:val="22"/>
          <w:lang w:eastAsia="en-GB"/>
        </w:rPr>
        <w:lastRenderedPageBreak/>
        <w:t>reminder to get out a notebook a pen — the primary concern of these sessions was to listen, and to focus on ‘the listening eye’. The leader of the session (an academic) would play the participants music, from field recordings to pop songs, for three hours (as the room got dark). The most important rule of all, in my memory, was that nobody was allowed to dance.</w:t>
      </w:r>
    </w:p>
    <w:p w14:paraId="01F89F6C" w14:textId="3A089321" w:rsidR="00E442B1" w:rsidRPr="00E442B1" w:rsidRDefault="00E442B1" w:rsidP="00C870EE">
      <w:pPr>
        <w:rPr>
          <w:rFonts w:ascii="Arial" w:eastAsia="Times New Roman" w:hAnsi="Arial" w:cs="Arial"/>
          <w:sz w:val="22"/>
          <w:szCs w:val="22"/>
          <w:lang w:eastAsia="en-GB"/>
        </w:rPr>
      </w:pPr>
    </w:p>
    <w:p w14:paraId="5B401DA6" w14:textId="349C4544" w:rsidR="00E442B1" w:rsidRPr="00E442B1" w:rsidRDefault="00E442B1" w:rsidP="00C870EE">
      <w:pPr>
        <w:rPr>
          <w:rFonts w:ascii="Arial" w:eastAsia="Times New Roman" w:hAnsi="Arial" w:cs="Arial"/>
          <w:sz w:val="22"/>
          <w:szCs w:val="22"/>
          <w:lang w:eastAsia="en-GB"/>
        </w:rPr>
      </w:pPr>
      <w:r w:rsidRPr="00E442B1">
        <w:rPr>
          <w:rFonts w:ascii="Arial" w:eastAsia="Times New Roman" w:hAnsi="Arial" w:cs="Arial"/>
          <w:sz w:val="22"/>
          <w:szCs w:val="22"/>
          <w:lang w:eastAsia="en-GB"/>
        </w:rPr>
        <w:t xml:space="preserve">Two years into my MA, approaching my last ever sound seminar, the academic had announced his retirement — so it turned out that my last ever sound seminar, might also be this academic’s last ever sound seminar too. The session played out as any other, and everybody stuck to the rules. The last song was announced. </w:t>
      </w:r>
      <w:r w:rsidRPr="00E442B1">
        <w:rPr>
          <w:rFonts w:ascii="Arial" w:eastAsia="Times New Roman" w:hAnsi="Arial" w:cs="Arial"/>
          <w:i/>
          <w:iCs/>
          <w:sz w:val="22"/>
          <w:szCs w:val="22"/>
          <w:lang w:eastAsia="en-GB"/>
        </w:rPr>
        <w:t>Getting Better</w:t>
      </w:r>
      <w:r w:rsidRPr="00E442B1">
        <w:rPr>
          <w:rFonts w:ascii="Arial" w:eastAsia="Times New Roman" w:hAnsi="Arial" w:cs="Arial"/>
          <w:sz w:val="22"/>
          <w:szCs w:val="22"/>
          <w:lang w:eastAsia="en-GB"/>
        </w:rPr>
        <w:t xml:space="preserve"> by the Beatles. Considering that previous sound seminar song choices over my time at the RCA had included fast paced techno tracks, and classic dance music, what followed felt particularly unrelated to the musical content of the moment — nonetheless, a student, overtaken by emotion, stood up out of their seat and began to dance in the middle of the room. Everybody looked. The first second of this solitary action felt like it lasted a lifetime. But then, the academic stood up too, and started dancing himself. Suddenly the whole room was out of their seats, dancing in rapture.</w:t>
      </w:r>
    </w:p>
    <w:p w14:paraId="31561AC4" w14:textId="77777777" w:rsidR="00E442B1" w:rsidRPr="00E442B1" w:rsidRDefault="00E442B1" w:rsidP="00C870EE">
      <w:pPr>
        <w:rPr>
          <w:rFonts w:ascii="Arial" w:eastAsia="Times New Roman" w:hAnsi="Arial" w:cs="Arial"/>
          <w:sz w:val="22"/>
          <w:szCs w:val="22"/>
          <w:lang w:eastAsia="en-GB"/>
        </w:rPr>
      </w:pPr>
    </w:p>
    <w:p w14:paraId="00C33E95" w14:textId="6FA4C2C2" w:rsidR="00E442B1" w:rsidRPr="00E442B1" w:rsidRDefault="00E442B1" w:rsidP="00C870EE">
      <w:pPr>
        <w:rPr>
          <w:rFonts w:ascii="Arial" w:eastAsia="Times New Roman" w:hAnsi="Arial" w:cs="Arial"/>
          <w:sz w:val="22"/>
          <w:szCs w:val="22"/>
          <w:lang w:eastAsia="en-GB"/>
        </w:rPr>
      </w:pPr>
      <w:r w:rsidRPr="00E442B1">
        <w:rPr>
          <w:rFonts w:ascii="Arial" w:eastAsia="Times New Roman" w:hAnsi="Arial" w:cs="Arial"/>
          <w:sz w:val="22"/>
          <w:szCs w:val="22"/>
          <w:lang w:eastAsia="en-GB"/>
        </w:rPr>
        <w:t xml:space="preserve">From Barbara </w:t>
      </w:r>
      <w:proofErr w:type="spellStart"/>
      <w:r w:rsidRPr="00E442B1">
        <w:rPr>
          <w:rFonts w:ascii="Arial" w:eastAsia="Times New Roman" w:hAnsi="Arial" w:cs="Arial"/>
          <w:sz w:val="22"/>
          <w:szCs w:val="22"/>
          <w:lang w:eastAsia="en-GB"/>
        </w:rPr>
        <w:t>Ehenreich’s</w:t>
      </w:r>
      <w:proofErr w:type="spellEnd"/>
      <w:r w:rsidRPr="00E442B1">
        <w:rPr>
          <w:rFonts w:ascii="Arial" w:eastAsia="Times New Roman" w:hAnsi="Arial" w:cs="Arial"/>
          <w:sz w:val="22"/>
          <w:szCs w:val="22"/>
          <w:lang w:eastAsia="en-GB"/>
        </w:rPr>
        <w:t xml:space="preserve"> </w:t>
      </w:r>
      <w:r w:rsidRPr="00E442B1">
        <w:rPr>
          <w:rFonts w:ascii="Arial" w:eastAsia="Times New Roman" w:hAnsi="Arial" w:cs="Arial"/>
          <w:i/>
          <w:iCs/>
          <w:sz w:val="22"/>
          <w:szCs w:val="22"/>
          <w:lang w:eastAsia="en-GB"/>
        </w:rPr>
        <w:t>Dancing in the Street: A History of Collective Joy</w:t>
      </w:r>
      <w:r w:rsidRPr="00E442B1">
        <w:rPr>
          <w:rFonts w:ascii="Arial" w:eastAsia="Times New Roman" w:hAnsi="Arial" w:cs="Arial"/>
          <w:sz w:val="22"/>
          <w:szCs w:val="22"/>
          <w:lang w:eastAsia="en-GB"/>
        </w:rPr>
        <w:t xml:space="preserve"> —</w:t>
      </w:r>
    </w:p>
    <w:p w14:paraId="7CE88301" w14:textId="3381154D" w:rsidR="00E442B1" w:rsidRPr="00E442B1" w:rsidRDefault="00E442B1" w:rsidP="00C870EE">
      <w:pPr>
        <w:rPr>
          <w:rFonts w:ascii="Arial" w:eastAsia="Times New Roman" w:hAnsi="Arial" w:cs="Arial"/>
          <w:sz w:val="22"/>
          <w:szCs w:val="22"/>
          <w:lang w:eastAsia="en-GB"/>
        </w:rPr>
      </w:pPr>
      <w:r w:rsidRPr="00E442B1">
        <w:rPr>
          <w:rFonts w:ascii="Arial" w:eastAsia="Times New Roman" w:hAnsi="Arial" w:cs="Arial"/>
          <w:sz w:val="22"/>
          <w:szCs w:val="22"/>
          <w:lang w:eastAsia="en-GB"/>
        </w:rPr>
        <w:br/>
        <w:t>“T</w:t>
      </w:r>
      <w:r w:rsidRPr="00E442B1">
        <w:rPr>
          <w:rFonts w:ascii="Arial" w:eastAsia="Times New Roman" w:hAnsi="Arial" w:cs="Arial"/>
          <w:sz w:val="22"/>
          <w:szCs w:val="22"/>
          <w:lang w:eastAsia="en-GB"/>
        </w:rPr>
        <w:t>he samba school danced down to the sand in perfect dignity, wrapped in their own rhythm, their faces both exhausted and shining with an almost religious kind of exultation. One thin, latte coloured young man dancing just behind the musicians set the pace. What was he in</w:t>
      </w:r>
      <w:r w:rsidRPr="00E442B1">
        <w:rPr>
          <w:rFonts w:ascii="Arial" w:eastAsia="Times New Roman" w:hAnsi="Arial" w:cs="Arial"/>
          <w:sz w:val="22"/>
          <w:szCs w:val="22"/>
          <w:lang w:eastAsia="en-GB"/>
        </w:rPr>
        <w:t xml:space="preserve"> </w:t>
      </w:r>
      <w:r w:rsidRPr="00E442B1">
        <w:rPr>
          <w:rFonts w:ascii="Arial" w:eastAsia="Times New Roman" w:hAnsi="Arial" w:cs="Arial"/>
          <w:sz w:val="22"/>
          <w:szCs w:val="22"/>
          <w:lang w:eastAsia="en-GB"/>
        </w:rPr>
        <w:t xml:space="preserve">real life? A bank </w:t>
      </w:r>
      <w:proofErr w:type="gramStart"/>
      <w:r w:rsidRPr="00E442B1">
        <w:rPr>
          <w:rFonts w:ascii="Arial" w:eastAsia="Times New Roman" w:hAnsi="Arial" w:cs="Arial"/>
          <w:sz w:val="22"/>
          <w:szCs w:val="22"/>
          <w:lang w:eastAsia="en-GB"/>
        </w:rPr>
        <w:t>clerk</w:t>
      </w:r>
      <w:proofErr w:type="gramEnd"/>
      <w:r w:rsidRPr="00E442B1">
        <w:rPr>
          <w:rFonts w:ascii="Arial" w:eastAsia="Times New Roman" w:hAnsi="Arial" w:cs="Arial"/>
          <w:sz w:val="22"/>
          <w:szCs w:val="22"/>
          <w:lang w:eastAsia="en-GB"/>
        </w:rPr>
        <w:t xml:space="preserve">? A bus boy? But here in his </w:t>
      </w:r>
      <w:proofErr w:type="gramStart"/>
      <w:r w:rsidRPr="00E442B1">
        <w:rPr>
          <w:rFonts w:ascii="Arial" w:eastAsia="Times New Roman" w:hAnsi="Arial" w:cs="Arial"/>
          <w:sz w:val="22"/>
          <w:szCs w:val="22"/>
          <w:lang w:eastAsia="en-GB"/>
        </w:rPr>
        <w:t>brilliant feathered</w:t>
      </w:r>
      <w:proofErr w:type="gramEnd"/>
      <w:r w:rsidRPr="00E442B1">
        <w:rPr>
          <w:rFonts w:ascii="Arial" w:eastAsia="Times New Roman" w:hAnsi="Arial" w:cs="Arial"/>
          <w:sz w:val="22"/>
          <w:szCs w:val="22"/>
          <w:lang w:eastAsia="en-GB"/>
        </w:rPr>
        <w:t xml:space="preserve"> costume he was a prince, a mythological figure. Maybe even a god. Here, for a moment, there were no divisions among people except for the playful ones created by Carnival itself. As they reached the boardwalk, bystanders started falling into the rhythm too and without any invitation or announcements, without embarrassment or even alcohol to dissolve the normal constraints of urban life, the samba school turned into a crowd and the crowd into a momentary festival. There was no point to it. No religious overtones, ideological message or money to be made. Just the chance, which we need much more of in this crowded planet, to acknowledge the miracle of our simultaneous existence with some sort of celebration.</w:t>
      </w:r>
      <w:r w:rsidRPr="00E442B1">
        <w:rPr>
          <w:rFonts w:ascii="Arial" w:eastAsia="Times New Roman" w:hAnsi="Arial" w:cs="Arial"/>
          <w:sz w:val="22"/>
          <w:szCs w:val="22"/>
          <w:lang w:eastAsia="en-GB"/>
        </w:rPr>
        <w:t>”</w:t>
      </w:r>
      <w:r>
        <w:rPr>
          <w:rStyle w:val="FootnoteReference"/>
          <w:rFonts w:ascii="Arial" w:eastAsia="Times New Roman" w:hAnsi="Arial" w:cs="Arial"/>
          <w:sz w:val="22"/>
          <w:szCs w:val="22"/>
          <w:lang w:eastAsia="en-GB"/>
        </w:rPr>
        <w:footnoteReference w:id="8"/>
      </w:r>
      <w:r w:rsidRPr="00E442B1">
        <w:rPr>
          <w:rFonts w:ascii="Arial" w:eastAsia="Times New Roman" w:hAnsi="Arial" w:cs="Arial"/>
          <w:sz w:val="22"/>
          <w:szCs w:val="22"/>
          <w:lang w:eastAsia="en-GB"/>
        </w:rPr>
        <w:t xml:space="preserve"> </w:t>
      </w:r>
    </w:p>
    <w:p w14:paraId="58BC8D7A" w14:textId="77777777" w:rsidR="00E442B1" w:rsidRPr="00E442B1" w:rsidRDefault="00E442B1" w:rsidP="00C870EE">
      <w:pPr>
        <w:rPr>
          <w:rFonts w:ascii="Arial" w:eastAsia="Times New Roman" w:hAnsi="Arial" w:cs="Arial"/>
          <w:sz w:val="22"/>
          <w:szCs w:val="22"/>
          <w:lang w:eastAsia="en-GB"/>
        </w:rPr>
      </w:pPr>
    </w:p>
    <w:p w14:paraId="4160A88A" w14:textId="77777777" w:rsidR="00E442B1" w:rsidRPr="00E442B1" w:rsidRDefault="00E442B1" w:rsidP="00C870EE">
      <w:pPr>
        <w:rPr>
          <w:rFonts w:ascii="Arial" w:eastAsia="Times New Roman" w:hAnsi="Arial" w:cs="Arial"/>
          <w:sz w:val="22"/>
          <w:szCs w:val="22"/>
          <w:lang w:eastAsia="en-GB"/>
        </w:rPr>
      </w:pPr>
      <w:r w:rsidRPr="00E442B1">
        <w:rPr>
          <w:rFonts w:ascii="Arial" w:eastAsia="Times New Roman" w:hAnsi="Arial" w:cs="Arial"/>
          <w:sz w:val="22"/>
          <w:szCs w:val="22"/>
          <w:lang w:eastAsia="en-GB"/>
        </w:rPr>
        <w:t>~</w:t>
      </w:r>
    </w:p>
    <w:p w14:paraId="7639D8F3" w14:textId="77777777" w:rsidR="00E442B1" w:rsidRPr="00E442B1" w:rsidRDefault="00E442B1" w:rsidP="00C870EE">
      <w:pPr>
        <w:rPr>
          <w:rFonts w:ascii="Arial" w:eastAsia="Times New Roman" w:hAnsi="Arial" w:cs="Arial"/>
          <w:sz w:val="22"/>
          <w:szCs w:val="22"/>
          <w:lang w:eastAsia="en-GB"/>
        </w:rPr>
      </w:pPr>
    </w:p>
    <w:p w14:paraId="317987C3" w14:textId="77777777" w:rsidR="00E442B1" w:rsidRPr="00E442B1" w:rsidRDefault="00E442B1" w:rsidP="00C870EE">
      <w:pPr>
        <w:rPr>
          <w:rFonts w:ascii="Arial" w:eastAsia="Times New Roman" w:hAnsi="Arial" w:cs="Arial"/>
          <w:sz w:val="22"/>
          <w:szCs w:val="22"/>
          <w:lang w:eastAsia="en-GB"/>
        </w:rPr>
      </w:pPr>
      <w:r w:rsidRPr="00E442B1">
        <w:rPr>
          <w:rFonts w:ascii="Arial" w:eastAsia="Times New Roman" w:hAnsi="Arial" w:cs="Arial"/>
          <w:sz w:val="22"/>
          <w:szCs w:val="22"/>
          <w:lang w:eastAsia="en-GB"/>
        </w:rPr>
        <w:t>I should relate this back to the reading list.</w:t>
      </w:r>
    </w:p>
    <w:p w14:paraId="00710210" w14:textId="77777777" w:rsidR="00E442B1" w:rsidRPr="00E442B1" w:rsidRDefault="00E442B1" w:rsidP="00C870EE">
      <w:pPr>
        <w:rPr>
          <w:rFonts w:ascii="Arial" w:eastAsia="Times New Roman" w:hAnsi="Arial" w:cs="Arial"/>
          <w:sz w:val="22"/>
          <w:szCs w:val="22"/>
          <w:lang w:eastAsia="en-GB"/>
        </w:rPr>
      </w:pPr>
    </w:p>
    <w:p w14:paraId="3FF9F4D2" w14:textId="08A083B5" w:rsidR="00E442B1" w:rsidRPr="00E442B1" w:rsidRDefault="00E442B1" w:rsidP="00C870EE">
      <w:pPr>
        <w:rPr>
          <w:rFonts w:ascii="Arial" w:eastAsia="Times New Roman" w:hAnsi="Arial" w:cs="Arial"/>
          <w:i/>
          <w:iCs/>
          <w:sz w:val="22"/>
          <w:szCs w:val="22"/>
          <w:lang w:eastAsia="en-GB"/>
        </w:rPr>
      </w:pPr>
      <w:r w:rsidRPr="00E442B1">
        <w:rPr>
          <w:rFonts w:ascii="Arial" w:eastAsia="Times New Roman" w:hAnsi="Arial" w:cs="Arial"/>
          <w:sz w:val="22"/>
          <w:szCs w:val="22"/>
          <w:lang w:eastAsia="en-GB"/>
        </w:rPr>
        <w:t xml:space="preserve">The action of the aforementioned academic breaking his own rules through dancing, was </w:t>
      </w:r>
      <w:proofErr w:type="gramStart"/>
      <w:r w:rsidRPr="00E442B1">
        <w:rPr>
          <w:rFonts w:ascii="Arial" w:eastAsia="Times New Roman" w:hAnsi="Arial" w:cs="Arial"/>
          <w:i/>
          <w:iCs/>
          <w:sz w:val="22"/>
          <w:szCs w:val="22"/>
          <w:lang w:eastAsia="en-GB"/>
        </w:rPr>
        <w:t>to</w:t>
      </w:r>
      <w:proofErr w:type="gramEnd"/>
      <w:r w:rsidRPr="00E442B1">
        <w:rPr>
          <w:rFonts w:ascii="Arial" w:eastAsia="Times New Roman" w:hAnsi="Arial" w:cs="Arial"/>
          <w:i/>
          <w:iCs/>
          <w:sz w:val="22"/>
          <w:szCs w:val="22"/>
          <w:lang w:eastAsia="en-GB"/>
        </w:rPr>
        <w:t xml:space="preserve"> un-refine, destroy, refresh, omit, include, discover, and uncover for oneself what one is talking about.</w:t>
      </w:r>
      <w:r w:rsidRPr="00E442B1">
        <w:rPr>
          <w:rStyle w:val="FootnoteReference"/>
          <w:rFonts w:ascii="Arial" w:eastAsia="Times New Roman" w:hAnsi="Arial" w:cs="Arial"/>
          <w:i/>
          <w:iCs/>
          <w:sz w:val="22"/>
          <w:szCs w:val="22"/>
          <w:lang w:eastAsia="en-GB"/>
        </w:rPr>
        <w:footnoteReference w:id="9"/>
      </w:r>
      <w:r w:rsidRPr="00E442B1">
        <w:rPr>
          <w:rFonts w:ascii="Arial" w:eastAsia="Times New Roman" w:hAnsi="Arial" w:cs="Arial"/>
          <w:i/>
          <w:iCs/>
          <w:sz w:val="22"/>
          <w:szCs w:val="22"/>
          <w:lang w:eastAsia="en-GB"/>
        </w:rPr>
        <w:t xml:space="preserve"> </w:t>
      </w:r>
    </w:p>
    <w:p w14:paraId="5D82CFC1" w14:textId="77777777" w:rsidR="00E442B1" w:rsidRPr="00E442B1" w:rsidRDefault="00E442B1" w:rsidP="00C870EE">
      <w:pPr>
        <w:rPr>
          <w:rFonts w:ascii="Arial" w:eastAsia="Times New Roman" w:hAnsi="Arial" w:cs="Arial"/>
          <w:i/>
          <w:iCs/>
          <w:sz w:val="22"/>
          <w:szCs w:val="22"/>
          <w:lang w:eastAsia="en-GB"/>
        </w:rPr>
      </w:pPr>
    </w:p>
    <w:p w14:paraId="760128DC" w14:textId="695CF243" w:rsidR="00E442B1" w:rsidRPr="00E442B1" w:rsidRDefault="00E442B1" w:rsidP="00C870EE">
      <w:pPr>
        <w:rPr>
          <w:rFonts w:ascii="Arial" w:eastAsia="Times New Roman" w:hAnsi="Arial" w:cs="Arial"/>
          <w:sz w:val="22"/>
          <w:szCs w:val="22"/>
          <w:lang w:eastAsia="en-GB"/>
        </w:rPr>
      </w:pPr>
      <w:r w:rsidRPr="00E442B1">
        <w:rPr>
          <w:rFonts w:ascii="Arial" w:eastAsia="Times New Roman" w:hAnsi="Arial" w:cs="Arial"/>
          <w:sz w:val="22"/>
          <w:szCs w:val="22"/>
          <w:lang w:eastAsia="en-GB"/>
        </w:rPr>
        <w:t>But what is contained within the potentiality of this moment for the students? (Other than collective joy.) And is it possible to formally harness this potentiality?</w:t>
      </w:r>
    </w:p>
    <w:p w14:paraId="2DC6EE2D" w14:textId="43ABF529" w:rsidR="00E442B1" w:rsidRPr="00E442B1" w:rsidRDefault="00E442B1" w:rsidP="00C870EE">
      <w:pPr>
        <w:rPr>
          <w:rFonts w:ascii="Arial" w:eastAsia="Times New Roman" w:hAnsi="Arial" w:cs="Arial"/>
          <w:sz w:val="22"/>
          <w:szCs w:val="22"/>
          <w:lang w:eastAsia="en-GB"/>
        </w:rPr>
      </w:pPr>
    </w:p>
    <w:p w14:paraId="36E9044E" w14:textId="57ACDCEF" w:rsidR="00E442B1" w:rsidRDefault="00E442B1" w:rsidP="00C870EE">
      <w:pPr>
        <w:rPr>
          <w:rFonts w:ascii="Arial" w:eastAsia="Times New Roman" w:hAnsi="Arial" w:cs="Arial"/>
          <w:sz w:val="22"/>
          <w:szCs w:val="22"/>
          <w:lang w:eastAsia="en-GB"/>
        </w:rPr>
      </w:pPr>
      <w:r w:rsidRPr="00E442B1">
        <w:rPr>
          <w:rFonts w:ascii="Arial" w:eastAsia="Times New Roman" w:hAnsi="Arial" w:cs="Arial"/>
          <w:sz w:val="22"/>
          <w:szCs w:val="22"/>
          <w:lang w:eastAsia="en-GB"/>
        </w:rPr>
        <w:t xml:space="preserve">I don’t have an answer. </w:t>
      </w:r>
      <w:r>
        <w:rPr>
          <w:rFonts w:ascii="Arial" w:eastAsia="Times New Roman" w:hAnsi="Arial" w:cs="Arial"/>
          <w:sz w:val="22"/>
          <w:szCs w:val="22"/>
          <w:lang w:eastAsia="en-GB"/>
        </w:rPr>
        <w:t>But, as laid out in my case studies,</w:t>
      </w:r>
      <w:r w:rsidRPr="00E442B1">
        <w:rPr>
          <w:rFonts w:ascii="Arial" w:eastAsia="Times New Roman" w:hAnsi="Arial" w:cs="Arial"/>
          <w:sz w:val="22"/>
          <w:szCs w:val="22"/>
          <w:lang w:eastAsia="en-GB"/>
        </w:rPr>
        <w:t xml:space="preserve"> I am interested </w:t>
      </w:r>
      <w:r>
        <w:rPr>
          <w:rFonts w:ascii="Arial" w:eastAsia="Times New Roman" w:hAnsi="Arial" w:cs="Arial"/>
          <w:sz w:val="22"/>
          <w:szCs w:val="22"/>
          <w:lang w:eastAsia="en-GB"/>
        </w:rPr>
        <w:t>by</w:t>
      </w:r>
      <w:r w:rsidRPr="00E442B1">
        <w:rPr>
          <w:rFonts w:ascii="Arial" w:eastAsia="Times New Roman" w:hAnsi="Arial" w:cs="Arial"/>
          <w:sz w:val="22"/>
          <w:szCs w:val="22"/>
          <w:lang w:eastAsia="en-GB"/>
        </w:rPr>
        <w:t xml:space="preserve"> the QAA Benchmarking statement </w:t>
      </w:r>
      <w:r w:rsidRPr="00E442B1">
        <w:rPr>
          <w:rFonts w:ascii="Arial" w:hAnsi="Arial" w:cs="Arial"/>
          <w:color w:val="000000" w:themeColor="text1"/>
          <w:sz w:val="22"/>
          <w:szCs w:val="22"/>
        </w:rPr>
        <w:t xml:space="preserve">for Art &amp; Design </w:t>
      </w:r>
      <w:r>
        <w:rPr>
          <w:rFonts w:ascii="Arial" w:hAnsi="Arial" w:cs="Arial"/>
          <w:color w:val="000000" w:themeColor="text1"/>
          <w:sz w:val="22"/>
          <w:szCs w:val="22"/>
        </w:rPr>
        <w:t xml:space="preserve">when it </w:t>
      </w:r>
      <w:proofErr w:type="gramStart"/>
      <w:r>
        <w:rPr>
          <w:rFonts w:ascii="Arial" w:hAnsi="Arial" w:cs="Arial"/>
          <w:color w:val="000000" w:themeColor="text1"/>
          <w:sz w:val="22"/>
          <w:szCs w:val="22"/>
        </w:rPr>
        <w:t>states</w:t>
      </w:r>
      <w:proofErr w:type="gramEnd"/>
      <w:r w:rsidRPr="00E442B1">
        <w:rPr>
          <w:rFonts w:ascii="Arial" w:hAnsi="Arial" w:cs="Arial"/>
          <w:color w:val="000000" w:themeColor="text1"/>
          <w:sz w:val="22"/>
          <w:szCs w:val="22"/>
        </w:rPr>
        <w:t xml:space="preserve"> </w:t>
      </w:r>
      <w:r w:rsidRPr="00E442B1">
        <w:rPr>
          <w:rFonts w:ascii="Arial" w:hAnsi="Arial" w:cs="Arial"/>
          <w:i/>
          <w:iCs/>
          <w:color w:val="000000" w:themeColor="text1"/>
          <w:sz w:val="22"/>
          <w:szCs w:val="22"/>
        </w:rPr>
        <w:t>“</w:t>
      </w:r>
      <w:r w:rsidRPr="00E442B1">
        <w:rPr>
          <w:rFonts w:ascii="Arial" w:eastAsia="Times New Roman" w:hAnsi="Arial" w:cs="Arial"/>
          <w:i/>
          <w:iCs/>
          <w:sz w:val="22"/>
          <w:szCs w:val="22"/>
          <w:lang w:eastAsia="en-GB"/>
        </w:rPr>
        <w:t xml:space="preserve">In learning about the contextual setting of their discipline(s), students also engage with appropriate related theories within global, historical/contemporary and cultural/environmental settings, which inform that context </w:t>
      </w:r>
      <w:r w:rsidRPr="00E442B1">
        <w:rPr>
          <w:rFonts w:ascii="Arial" w:eastAsia="Times New Roman" w:hAnsi="Arial" w:cs="Arial"/>
          <w:i/>
          <w:iCs/>
          <w:sz w:val="22"/>
          <w:szCs w:val="22"/>
          <w:lang w:eastAsia="en-GB"/>
        </w:rPr>
        <w:lastRenderedPageBreak/>
        <w:t>and add purpose to their activity</w:t>
      </w:r>
      <w:r>
        <w:rPr>
          <w:rFonts w:ascii="Arial" w:eastAsia="Times New Roman" w:hAnsi="Arial" w:cs="Arial"/>
          <w:i/>
          <w:iCs/>
          <w:sz w:val="22"/>
          <w:szCs w:val="22"/>
          <w:lang w:eastAsia="en-GB"/>
        </w:rPr>
        <w:t>.</w:t>
      </w:r>
      <w:r w:rsidRPr="00E442B1">
        <w:rPr>
          <w:rFonts w:ascii="Arial" w:eastAsia="Times New Roman" w:hAnsi="Arial" w:cs="Arial"/>
          <w:i/>
          <w:iCs/>
          <w:sz w:val="22"/>
          <w:szCs w:val="22"/>
          <w:lang w:eastAsia="en-GB"/>
        </w:rPr>
        <w:t>”</w:t>
      </w:r>
      <w:r w:rsidRPr="00E442B1">
        <w:rPr>
          <w:rFonts w:ascii="Arial" w:eastAsia="Times New Roman" w:hAnsi="Arial" w:cs="Arial"/>
          <w:sz w:val="22"/>
          <w:szCs w:val="22"/>
          <w:lang w:eastAsia="en-GB"/>
        </w:rPr>
        <w:t xml:space="preserve"> </w:t>
      </w:r>
      <w:r w:rsidRPr="00E442B1">
        <w:rPr>
          <w:rStyle w:val="FootnoteReference"/>
          <w:rFonts w:ascii="Arial" w:hAnsi="Arial" w:cs="Arial"/>
          <w:color w:val="000000" w:themeColor="text1"/>
          <w:sz w:val="22"/>
          <w:szCs w:val="22"/>
        </w:rPr>
        <w:footnoteReference w:id="10"/>
      </w:r>
      <w:r w:rsidRPr="00E442B1">
        <w:rPr>
          <w:rFonts w:ascii="Arial" w:eastAsia="Times New Roman" w:hAnsi="Arial" w:cs="Arial"/>
          <w:sz w:val="22"/>
          <w:szCs w:val="22"/>
          <w:lang w:eastAsia="en-GB"/>
        </w:rPr>
        <w:t xml:space="preserve"> I wonder</w:t>
      </w:r>
      <w:r>
        <w:rPr>
          <w:rFonts w:ascii="Arial" w:eastAsia="Times New Roman" w:hAnsi="Arial" w:cs="Arial"/>
          <w:sz w:val="22"/>
          <w:szCs w:val="22"/>
          <w:lang w:eastAsia="en-GB"/>
        </w:rPr>
        <w:t xml:space="preserve"> if there might be empowerment in including the history of arts education, or of higher education itself, within the (s) of our discipline(s) — </w:t>
      </w:r>
      <w:proofErr w:type="gramStart"/>
      <w:r>
        <w:rPr>
          <w:rFonts w:ascii="Arial" w:eastAsia="Times New Roman" w:hAnsi="Arial" w:cs="Arial"/>
          <w:sz w:val="22"/>
          <w:szCs w:val="22"/>
          <w:lang w:eastAsia="en-GB"/>
        </w:rPr>
        <w:t>in an attempt to</w:t>
      </w:r>
      <w:proofErr w:type="gramEnd"/>
      <w:r>
        <w:rPr>
          <w:rFonts w:ascii="Arial" w:eastAsia="Times New Roman" w:hAnsi="Arial" w:cs="Arial"/>
          <w:sz w:val="22"/>
          <w:szCs w:val="22"/>
          <w:lang w:eastAsia="en-GB"/>
        </w:rPr>
        <w:t xml:space="preserve"> prepare our students not just to understand the idea of </w:t>
      </w:r>
      <w:r w:rsidRPr="00E442B1">
        <w:rPr>
          <w:rFonts w:ascii="Arial" w:eastAsia="Times New Roman" w:hAnsi="Arial" w:cs="Arial"/>
          <w:i/>
          <w:iCs/>
          <w:sz w:val="22"/>
          <w:szCs w:val="22"/>
          <w:lang w:eastAsia="en-GB"/>
        </w:rPr>
        <w:t>the charismatic lecturer</w:t>
      </w:r>
      <w:r>
        <w:rPr>
          <w:rFonts w:ascii="Arial" w:eastAsia="Times New Roman" w:hAnsi="Arial" w:cs="Arial"/>
          <w:sz w:val="22"/>
          <w:szCs w:val="22"/>
          <w:lang w:eastAsia="en-GB"/>
        </w:rPr>
        <w:t>, but to reflect, to challenge, to perform, to demonstrate, or to change it.</w:t>
      </w:r>
    </w:p>
    <w:p w14:paraId="1DA498D7" w14:textId="4E8825AE" w:rsidR="00E442B1" w:rsidRDefault="00E442B1" w:rsidP="00C870EE">
      <w:pPr>
        <w:rPr>
          <w:rFonts w:ascii="Arial" w:eastAsia="Times New Roman" w:hAnsi="Arial" w:cs="Arial"/>
          <w:sz w:val="22"/>
          <w:szCs w:val="22"/>
          <w:lang w:eastAsia="en-GB"/>
        </w:rPr>
      </w:pPr>
    </w:p>
    <w:p w14:paraId="581A592E" w14:textId="0CF88692" w:rsidR="00E442B1" w:rsidRPr="00E442B1" w:rsidRDefault="00E442B1" w:rsidP="00C870EE">
      <w:pPr>
        <w:rPr>
          <w:rFonts w:ascii="Arial" w:eastAsia="Times New Roman" w:hAnsi="Arial" w:cs="Arial"/>
          <w:sz w:val="22"/>
          <w:szCs w:val="22"/>
          <w:lang w:eastAsia="en-GB"/>
        </w:rPr>
      </w:pPr>
      <w:r>
        <w:rPr>
          <w:rFonts w:ascii="Arial" w:eastAsia="Times New Roman" w:hAnsi="Arial" w:cs="Arial"/>
          <w:sz w:val="22"/>
          <w:szCs w:val="22"/>
          <w:lang w:eastAsia="en-GB"/>
        </w:rPr>
        <w:t xml:space="preserve">Could unpacking this knowledge with our students, and together embracing its omittances, also offer academics a wider </w:t>
      </w:r>
      <w:r w:rsidRPr="00E442B1">
        <w:rPr>
          <w:rFonts w:ascii="Arial" w:eastAsia="Times New Roman" w:hAnsi="Arial" w:cs="Arial"/>
          <w:i/>
          <w:iCs/>
          <w:sz w:val="22"/>
          <w:szCs w:val="22"/>
          <w:lang w:eastAsia="en-GB"/>
        </w:rPr>
        <w:t>freedom to teach</w:t>
      </w:r>
      <w:r>
        <w:rPr>
          <w:rFonts w:ascii="Arial" w:eastAsia="Times New Roman" w:hAnsi="Arial" w:cs="Arial"/>
          <w:sz w:val="22"/>
          <w:szCs w:val="22"/>
          <w:lang w:eastAsia="en-GB"/>
        </w:rPr>
        <w:t>?</w:t>
      </w:r>
      <w:r>
        <w:rPr>
          <w:rStyle w:val="FootnoteReference"/>
          <w:rFonts w:ascii="Arial" w:eastAsia="Times New Roman" w:hAnsi="Arial" w:cs="Arial"/>
          <w:sz w:val="22"/>
          <w:szCs w:val="22"/>
          <w:lang w:eastAsia="en-GB"/>
        </w:rPr>
        <w:footnoteReference w:id="11"/>
      </w:r>
    </w:p>
    <w:p w14:paraId="5AC74440" w14:textId="299242FD" w:rsidR="00E442B1" w:rsidRPr="00E442B1" w:rsidRDefault="00E442B1" w:rsidP="00C870EE">
      <w:pPr>
        <w:rPr>
          <w:rFonts w:ascii="Arial" w:eastAsia="Times New Roman" w:hAnsi="Arial" w:cs="Arial"/>
          <w:sz w:val="22"/>
          <w:szCs w:val="22"/>
          <w:lang w:eastAsia="en-GB"/>
        </w:rPr>
      </w:pPr>
    </w:p>
    <w:p w14:paraId="6B20A16D" w14:textId="75F72AD7" w:rsidR="00E442B1" w:rsidRPr="00E442B1" w:rsidRDefault="00E442B1" w:rsidP="00C870EE">
      <w:pPr>
        <w:rPr>
          <w:rFonts w:ascii="Arial" w:eastAsia="Times New Roman" w:hAnsi="Arial" w:cs="Arial"/>
          <w:b/>
          <w:bCs/>
          <w:sz w:val="22"/>
          <w:szCs w:val="22"/>
          <w:lang w:eastAsia="en-GB"/>
        </w:rPr>
      </w:pPr>
      <w:r w:rsidRPr="00E442B1">
        <w:rPr>
          <w:rFonts w:ascii="Arial" w:eastAsia="Times New Roman" w:hAnsi="Arial" w:cs="Arial"/>
          <w:b/>
          <w:bCs/>
          <w:sz w:val="22"/>
          <w:szCs w:val="22"/>
          <w:lang w:eastAsia="en-GB"/>
        </w:rPr>
        <w:t>References</w:t>
      </w:r>
    </w:p>
    <w:p w14:paraId="26335DD6" w14:textId="1BA3AB98" w:rsidR="00E442B1" w:rsidRDefault="00E442B1" w:rsidP="00C870EE">
      <w:pPr>
        <w:rPr>
          <w:rFonts w:ascii="Arial" w:eastAsia="Times New Roman" w:hAnsi="Arial" w:cs="Arial"/>
          <w:sz w:val="22"/>
          <w:szCs w:val="22"/>
          <w:lang w:eastAsia="en-GB"/>
        </w:rPr>
      </w:pPr>
    </w:p>
    <w:p w14:paraId="692C3472" w14:textId="77777777" w:rsidR="00E442B1" w:rsidRPr="00E442B1" w:rsidRDefault="00E442B1" w:rsidP="00E442B1">
      <w:pPr>
        <w:pStyle w:val="FootnoteText"/>
        <w:numPr>
          <w:ilvl w:val="0"/>
          <w:numId w:val="1"/>
        </w:numPr>
        <w:rPr>
          <w:rFonts w:ascii="Arial" w:hAnsi="Arial" w:cs="Arial"/>
          <w:sz w:val="22"/>
          <w:szCs w:val="22"/>
        </w:rPr>
      </w:pPr>
      <w:proofErr w:type="spellStart"/>
      <w:r w:rsidRPr="00E442B1">
        <w:rPr>
          <w:rFonts w:ascii="Arial" w:hAnsi="Arial" w:cs="Arial"/>
          <w:sz w:val="22"/>
          <w:szCs w:val="22"/>
        </w:rPr>
        <w:t>AdvanceHE</w:t>
      </w:r>
      <w:proofErr w:type="spellEnd"/>
      <w:r w:rsidRPr="00E442B1">
        <w:rPr>
          <w:rFonts w:ascii="Arial" w:hAnsi="Arial" w:cs="Arial"/>
          <w:sz w:val="22"/>
          <w:szCs w:val="22"/>
        </w:rPr>
        <w:t xml:space="preserve"> (2024) Profile: </w:t>
      </w:r>
      <w:r w:rsidRPr="00E442B1">
        <w:rPr>
          <w:rFonts w:ascii="Arial" w:hAnsi="Arial" w:cs="Arial"/>
          <w:i/>
          <w:iCs/>
          <w:sz w:val="22"/>
          <w:szCs w:val="22"/>
        </w:rPr>
        <w:t>Professor Bruce Macfarlane</w:t>
      </w:r>
      <w:r w:rsidRPr="00E442B1">
        <w:rPr>
          <w:rFonts w:ascii="Arial" w:hAnsi="Arial" w:cs="Arial"/>
          <w:sz w:val="22"/>
          <w:szCs w:val="22"/>
        </w:rPr>
        <w:t xml:space="preserve"> &lt;https://www.advance-he.ac.uk/profile/professor-bruce-macfarlane&gt; Accessed April 2024</w:t>
      </w:r>
    </w:p>
    <w:p w14:paraId="5FE4E8C2" w14:textId="77777777" w:rsidR="00E442B1" w:rsidRPr="00E442B1" w:rsidRDefault="00E442B1" w:rsidP="00E442B1">
      <w:pPr>
        <w:pStyle w:val="ListParagraph"/>
        <w:numPr>
          <w:ilvl w:val="0"/>
          <w:numId w:val="1"/>
        </w:numPr>
        <w:rPr>
          <w:sz w:val="22"/>
          <w:szCs w:val="22"/>
        </w:rPr>
      </w:pPr>
      <w:r w:rsidRPr="00E442B1">
        <w:rPr>
          <w:rFonts w:ascii="Arial" w:hAnsi="Arial" w:cs="Arial"/>
          <w:color w:val="000000" w:themeColor="text1"/>
          <w:sz w:val="22"/>
          <w:szCs w:val="22"/>
          <w:shd w:val="clear" w:color="auto" w:fill="FCFCFC"/>
        </w:rPr>
        <w:t>Bandura, Albert (1977). </w:t>
      </w:r>
      <w:r w:rsidRPr="00E442B1">
        <w:rPr>
          <w:rFonts w:ascii="Arial" w:hAnsi="Arial" w:cs="Arial"/>
          <w:i/>
          <w:iCs/>
          <w:color w:val="000000" w:themeColor="text1"/>
          <w:sz w:val="22"/>
          <w:szCs w:val="22"/>
        </w:rPr>
        <w:t>Social learning theory</w:t>
      </w:r>
      <w:r w:rsidRPr="00E442B1">
        <w:rPr>
          <w:rFonts w:ascii="Arial" w:hAnsi="Arial" w:cs="Arial"/>
          <w:color w:val="000000" w:themeColor="text1"/>
          <w:sz w:val="22"/>
          <w:szCs w:val="22"/>
          <w:shd w:val="clear" w:color="auto" w:fill="FCFCFC"/>
        </w:rPr>
        <w:t>. New Jersey: Prentice Hall.</w:t>
      </w:r>
    </w:p>
    <w:p w14:paraId="6BC2312B" w14:textId="77777777" w:rsidR="00E442B1" w:rsidRPr="00E442B1" w:rsidRDefault="00E442B1" w:rsidP="00E442B1">
      <w:pPr>
        <w:pStyle w:val="FootnoteText"/>
        <w:numPr>
          <w:ilvl w:val="0"/>
          <w:numId w:val="1"/>
        </w:numPr>
        <w:rPr>
          <w:rFonts w:ascii="Arial" w:hAnsi="Arial" w:cs="Arial"/>
          <w:sz w:val="22"/>
          <w:szCs w:val="22"/>
        </w:rPr>
      </w:pPr>
      <w:r w:rsidRPr="00E442B1">
        <w:rPr>
          <w:rFonts w:ascii="Arial" w:hAnsi="Arial" w:cs="Arial"/>
          <w:sz w:val="22"/>
          <w:szCs w:val="22"/>
        </w:rPr>
        <w:t xml:space="preserve">Cage, John (1959) </w:t>
      </w:r>
      <w:r w:rsidRPr="00E442B1">
        <w:rPr>
          <w:rFonts w:ascii="Arial" w:hAnsi="Arial" w:cs="Arial"/>
          <w:i/>
          <w:iCs/>
          <w:sz w:val="22"/>
          <w:szCs w:val="22"/>
        </w:rPr>
        <w:t>Lecture on Nothing.</w:t>
      </w:r>
      <w:r w:rsidRPr="00E442B1">
        <w:rPr>
          <w:rFonts w:ascii="Arial" w:hAnsi="Arial" w:cs="Arial"/>
          <w:sz w:val="22"/>
          <w:szCs w:val="22"/>
        </w:rPr>
        <w:t xml:space="preserve"> </w:t>
      </w:r>
      <w:proofErr w:type="spellStart"/>
      <w:r w:rsidRPr="00E442B1">
        <w:rPr>
          <w:rFonts w:ascii="Arial" w:hAnsi="Arial" w:cs="Arial"/>
          <w:sz w:val="22"/>
          <w:szCs w:val="22"/>
        </w:rPr>
        <w:t>Incontri</w:t>
      </w:r>
      <w:proofErr w:type="spellEnd"/>
      <w:r w:rsidRPr="00E442B1">
        <w:rPr>
          <w:rFonts w:ascii="Arial" w:hAnsi="Arial" w:cs="Arial"/>
          <w:sz w:val="22"/>
          <w:szCs w:val="22"/>
        </w:rPr>
        <w:t xml:space="preserve"> </w:t>
      </w:r>
      <w:proofErr w:type="spellStart"/>
      <w:r w:rsidRPr="00E442B1">
        <w:rPr>
          <w:rFonts w:ascii="Arial" w:hAnsi="Arial" w:cs="Arial"/>
          <w:sz w:val="22"/>
          <w:szCs w:val="22"/>
        </w:rPr>
        <w:t>Musicali</w:t>
      </w:r>
      <w:proofErr w:type="spellEnd"/>
      <w:r w:rsidRPr="00E442B1">
        <w:rPr>
          <w:rFonts w:ascii="Arial" w:hAnsi="Arial" w:cs="Arial"/>
          <w:sz w:val="22"/>
          <w:szCs w:val="22"/>
        </w:rPr>
        <w:t xml:space="preserve">. </w:t>
      </w:r>
      <w:r w:rsidRPr="00E442B1">
        <w:rPr>
          <w:rFonts w:ascii="Arial" w:eastAsia="Times New Roman" w:hAnsi="Arial" w:cs="Arial"/>
          <w:sz w:val="22"/>
          <w:szCs w:val="22"/>
          <w:lang w:eastAsia="en-GB"/>
        </w:rPr>
        <w:t>&lt;https://seansturm.files.wordpress.com/2012/09/john-cage-lecture-on-nothing.pdf&gt; Accessed April 2024</w:t>
      </w:r>
    </w:p>
    <w:p w14:paraId="13E51E88" w14:textId="77777777" w:rsidR="00E442B1" w:rsidRPr="00E442B1" w:rsidRDefault="00E442B1" w:rsidP="00E442B1">
      <w:pPr>
        <w:pStyle w:val="ListParagraph"/>
        <w:numPr>
          <w:ilvl w:val="0"/>
          <w:numId w:val="1"/>
        </w:numPr>
        <w:rPr>
          <w:sz w:val="22"/>
          <w:szCs w:val="22"/>
        </w:rPr>
      </w:pPr>
      <w:proofErr w:type="spellStart"/>
      <w:r w:rsidRPr="00E442B1">
        <w:rPr>
          <w:rFonts w:ascii="Arial" w:hAnsi="Arial" w:cs="Arial"/>
          <w:sz w:val="22"/>
          <w:szCs w:val="22"/>
        </w:rPr>
        <w:t>Ehenreich</w:t>
      </w:r>
      <w:proofErr w:type="spellEnd"/>
      <w:r w:rsidRPr="00E442B1">
        <w:rPr>
          <w:rFonts w:ascii="Arial" w:hAnsi="Arial" w:cs="Arial"/>
          <w:sz w:val="22"/>
          <w:szCs w:val="22"/>
        </w:rPr>
        <w:t xml:space="preserve">, </w:t>
      </w:r>
      <w:proofErr w:type="spellStart"/>
      <w:r w:rsidRPr="00E442B1">
        <w:rPr>
          <w:rFonts w:ascii="Arial" w:hAnsi="Arial" w:cs="Arial"/>
          <w:sz w:val="22"/>
          <w:szCs w:val="22"/>
        </w:rPr>
        <w:t>Barabara</w:t>
      </w:r>
      <w:proofErr w:type="spellEnd"/>
      <w:r w:rsidRPr="00E442B1">
        <w:rPr>
          <w:rFonts w:ascii="Arial" w:hAnsi="Arial" w:cs="Arial"/>
          <w:sz w:val="22"/>
          <w:szCs w:val="22"/>
        </w:rPr>
        <w:t xml:space="preserve"> (2007) </w:t>
      </w:r>
      <w:r w:rsidRPr="00E442B1">
        <w:rPr>
          <w:rFonts w:ascii="Arial" w:eastAsia="Times New Roman" w:hAnsi="Arial" w:cs="Arial"/>
          <w:i/>
          <w:iCs/>
          <w:sz w:val="22"/>
          <w:szCs w:val="22"/>
          <w:lang w:eastAsia="en-GB"/>
        </w:rPr>
        <w:t>Dancing in the Street: A History of Collective Joy.</w:t>
      </w:r>
      <w:r w:rsidRPr="00E442B1">
        <w:rPr>
          <w:rFonts w:ascii="Arial" w:eastAsia="Times New Roman" w:hAnsi="Arial" w:cs="Arial"/>
          <w:sz w:val="22"/>
          <w:szCs w:val="22"/>
          <w:lang w:eastAsia="en-GB"/>
        </w:rPr>
        <w:t xml:space="preserve"> </w:t>
      </w:r>
      <w:r w:rsidRPr="00E442B1">
        <w:rPr>
          <w:rFonts w:ascii="Arial" w:hAnsi="Arial" w:cs="Arial"/>
          <w:sz w:val="22"/>
          <w:szCs w:val="22"/>
        </w:rPr>
        <w:t>MacMillan Publishing: Holt Paperbacks.</w:t>
      </w:r>
    </w:p>
    <w:p w14:paraId="57D10E10" w14:textId="77777777" w:rsidR="00E442B1" w:rsidRPr="00E442B1" w:rsidRDefault="00E442B1" w:rsidP="00E442B1">
      <w:pPr>
        <w:pStyle w:val="ListParagraph"/>
        <w:numPr>
          <w:ilvl w:val="0"/>
          <w:numId w:val="1"/>
        </w:numPr>
        <w:rPr>
          <w:sz w:val="22"/>
          <w:szCs w:val="22"/>
        </w:rPr>
      </w:pPr>
      <w:r w:rsidRPr="00E442B1">
        <w:rPr>
          <w:rFonts w:ascii="Arial" w:hAnsi="Arial" w:cs="Arial"/>
          <w:color w:val="000000" w:themeColor="text1"/>
          <w:sz w:val="22"/>
          <w:szCs w:val="22"/>
        </w:rPr>
        <w:t xml:space="preserve">Kennedy, G &amp; Welch, E (2019) </w:t>
      </w:r>
      <w:r w:rsidRPr="00E442B1">
        <w:rPr>
          <w:rFonts w:ascii="Arial" w:hAnsi="Arial" w:cs="Arial"/>
          <w:i/>
          <w:iCs/>
          <w:color w:val="000000" w:themeColor="text1"/>
          <w:sz w:val="22"/>
          <w:szCs w:val="22"/>
        </w:rPr>
        <w:t>QAA Subject Benchmarking Statement – Art and Design</w:t>
      </w:r>
      <w:r w:rsidRPr="00E442B1">
        <w:rPr>
          <w:rFonts w:ascii="Arial" w:hAnsi="Arial" w:cs="Arial"/>
          <w:color w:val="000000" w:themeColor="text1"/>
          <w:sz w:val="22"/>
          <w:szCs w:val="22"/>
        </w:rPr>
        <w:t xml:space="preserve">. p.6. &lt;https://www.qaa.ac.uk/docs/qaa/subject-benchmark-statements/sbs-art-and-design-17.pdf?sfvrsn=71eef781_16&gt; Accessed April 2024 </w:t>
      </w:r>
    </w:p>
    <w:p w14:paraId="0A1560AB" w14:textId="77777777" w:rsidR="00E442B1" w:rsidRPr="00E442B1" w:rsidRDefault="00E442B1" w:rsidP="00E442B1">
      <w:pPr>
        <w:pStyle w:val="ListParagraph"/>
        <w:numPr>
          <w:ilvl w:val="0"/>
          <w:numId w:val="1"/>
        </w:numPr>
        <w:rPr>
          <w:sz w:val="22"/>
          <w:szCs w:val="22"/>
        </w:rPr>
      </w:pPr>
      <w:r w:rsidRPr="00E442B1">
        <w:rPr>
          <w:rFonts w:ascii="Arial" w:eastAsia="Times New Roman" w:hAnsi="Arial" w:cs="Arial"/>
          <w:color w:val="202122"/>
          <w:sz w:val="22"/>
          <w:szCs w:val="22"/>
          <w:shd w:val="clear" w:color="auto" w:fill="FFFFFF"/>
          <w:lang w:eastAsia="en-GB"/>
        </w:rPr>
        <w:t xml:space="preserve">Martinez, Yves &amp; Trees, Joshua (2017) </w:t>
      </w:r>
      <w:r w:rsidRPr="00E442B1">
        <w:rPr>
          <w:rFonts w:ascii="Arial" w:eastAsia="Times New Roman" w:hAnsi="Arial" w:cs="Arial"/>
          <w:i/>
          <w:iCs/>
          <w:color w:val="202122"/>
          <w:sz w:val="22"/>
          <w:szCs w:val="22"/>
          <w:shd w:val="clear" w:color="auto" w:fill="FFFFFF"/>
          <w:lang w:eastAsia="en-GB"/>
        </w:rPr>
        <w:t>Performance Society</w:t>
      </w:r>
      <w:r w:rsidRPr="00E442B1">
        <w:rPr>
          <w:rFonts w:ascii="Arial" w:eastAsia="Times New Roman" w:hAnsi="Arial" w:cs="Arial"/>
          <w:color w:val="202122"/>
          <w:sz w:val="22"/>
          <w:szCs w:val="22"/>
          <w:shd w:val="clear" w:color="auto" w:fill="FFFFFF"/>
          <w:lang w:eastAsia="en-GB"/>
        </w:rPr>
        <w:t xml:space="preserve">. </w:t>
      </w:r>
      <w:proofErr w:type="spellStart"/>
      <w:r w:rsidRPr="00E442B1">
        <w:rPr>
          <w:rFonts w:ascii="Arial" w:eastAsia="Times New Roman" w:hAnsi="Arial" w:cs="Arial"/>
          <w:color w:val="202122"/>
          <w:sz w:val="22"/>
          <w:szCs w:val="22"/>
          <w:shd w:val="clear" w:color="auto" w:fill="FFFFFF"/>
          <w:lang w:eastAsia="en-GB"/>
        </w:rPr>
        <w:t>Booksfromthefuture</w:t>
      </w:r>
      <w:proofErr w:type="spellEnd"/>
    </w:p>
    <w:p w14:paraId="712A4654" w14:textId="77777777" w:rsidR="00E442B1" w:rsidRPr="00E442B1" w:rsidRDefault="00E442B1" w:rsidP="00E442B1">
      <w:pPr>
        <w:pStyle w:val="ListParagraph"/>
        <w:numPr>
          <w:ilvl w:val="0"/>
          <w:numId w:val="1"/>
        </w:numPr>
        <w:rPr>
          <w:sz w:val="22"/>
          <w:szCs w:val="22"/>
        </w:rPr>
      </w:pPr>
      <w:r w:rsidRPr="00E442B1">
        <w:rPr>
          <w:rFonts w:ascii="Arial" w:hAnsi="Arial" w:cs="Arial"/>
          <w:color w:val="000000" w:themeColor="text1"/>
          <w:sz w:val="22"/>
          <w:szCs w:val="22"/>
          <w:shd w:val="clear" w:color="auto" w:fill="FCFCFC"/>
        </w:rPr>
        <w:t xml:space="preserve">McLain, Matt (2021) </w:t>
      </w:r>
      <w:r w:rsidRPr="00E442B1">
        <w:rPr>
          <w:rFonts w:ascii="Arial" w:hAnsi="Arial" w:cs="Arial"/>
          <w:i/>
          <w:iCs/>
          <w:color w:val="000000" w:themeColor="text1"/>
          <w:sz w:val="22"/>
          <w:szCs w:val="22"/>
          <w:shd w:val="clear" w:color="auto" w:fill="FCFCFC"/>
        </w:rPr>
        <w:t>Developing perspectives on ‘the demonstration’ as a signature pedagogy in design and technology education</w:t>
      </w:r>
      <w:r w:rsidRPr="00E442B1">
        <w:rPr>
          <w:rFonts w:ascii="Arial" w:hAnsi="Arial" w:cs="Arial"/>
          <w:color w:val="000000" w:themeColor="text1"/>
          <w:sz w:val="22"/>
          <w:szCs w:val="22"/>
          <w:shd w:val="clear" w:color="auto" w:fill="FCFCFC"/>
        </w:rPr>
        <w:t>, </w:t>
      </w:r>
      <w:r w:rsidRPr="00E442B1">
        <w:rPr>
          <w:rFonts w:ascii="Arial" w:hAnsi="Arial" w:cs="Arial"/>
          <w:color w:val="000000" w:themeColor="text1"/>
          <w:sz w:val="22"/>
          <w:szCs w:val="22"/>
        </w:rPr>
        <w:t>Int J Technology Design Education</w:t>
      </w:r>
      <w:r w:rsidRPr="00E442B1">
        <w:rPr>
          <w:rFonts w:ascii="Arial" w:hAnsi="Arial" w:cs="Arial"/>
          <w:color w:val="000000" w:themeColor="text1"/>
          <w:sz w:val="22"/>
          <w:szCs w:val="22"/>
          <w:shd w:val="clear" w:color="auto" w:fill="FCFCFC"/>
        </w:rPr>
        <w:t> </w:t>
      </w:r>
      <w:r w:rsidRPr="00E442B1">
        <w:rPr>
          <w:rFonts w:ascii="Arial" w:hAnsi="Arial" w:cs="Arial"/>
          <w:color w:val="000000" w:themeColor="text1"/>
          <w:sz w:val="22"/>
          <w:szCs w:val="22"/>
        </w:rPr>
        <w:t xml:space="preserve">31, p. </w:t>
      </w:r>
      <w:r w:rsidRPr="00E442B1">
        <w:rPr>
          <w:rFonts w:ascii="Arial" w:hAnsi="Arial" w:cs="Arial"/>
          <w:color w:val="000000" w:themeColor="text1"/>
          <w:sz w:val="22"/>
          <w:szCs w:val="22"/>
          <w:shd w:val="clear" w:color="auto" w:fill="FCFCFC"/>
        </w:rPr>
        <w:t>3–26 </w:t>
      </w:r>
    </w:p>
    <w:p w14:paraId="7DD8E5EB" w14:textId="77777777" w:rsidR="00E442B1" w:rsidRPr="00E442B1" w:rsidRDefault="00E442B1" w:rsidP="00E442B1">
      <w:pPr>
        <w:pStyle w:val="ListParagraph"/>
        <w:numPr>
          <w:ilvl w:val="0"/>
          <w:numId w:val="1"/>
        </w:numPr>
        <w:rPr>
          <w:sz w:val="22"/>
          <w:szCs w:val="22"/>
        </w:rPr>
      </w:pPr>
      <w:proofErr w:type="spellStart"/>
      <w:r w:rsidRPr="00E442B1">
        <w:rPr>
          <w:rFonts w:ascii="Arial" w:hAnsi="Arial" w:cs="Arial"/>
          <w:sz w:val="22"/>
          <w:szCs w:val="22"/>
        </w:rPr>
        <w:t>Rowlinson</w:t>
      </w:r>
      <w:proofErr w:type="spellEnd"/>
      <w:r w:rsidRPr="00E442B1">
        <w:rPr>
          <w:rFonts w:ascii="Arial" w:hAnsi="Arial" w:cs="Arial"/>
          <w:sz w:val="22"/>
          <w:szCs w:val="22"/>
        </w:rPr>
        <w:t xml:space="preserve">, Jacob (2017) </w:t>
      </w:r>
      <w:r w:rsidRPr="00E442B1">
        <w:rPr>
          <w:rFonts w:ascii="Arial" w:eastAsia="Times New Roman" w:hAnsi="Arial" w:cs="Arial"/>
          <w:i/>
          <w:iCs/>
          <w:color w:val="202122"/>
          <w:sz w:val="22"/>
          <w:szCs w:val="22"/>
          <w:shd w:val="clear" w:color="auto" w:fill="FFFFFF"/>
          <w:lang w:eastAsia="en-GB"/>
        </w:rPr>
        <w:t>Performance Society</w:t>
      </w:r>
      <w:r w:rsidRPr="00E442B1">
        <w:rPr>
          <w:rFonts w:ascii="Arial" w:eastAsia="Times New Roman" w:hAnsi="Arial" w:cs="Arial"/>
          <w:color w:val="202122"/>
          <w:sz w:val="22"/>
          <w:szCs w:val="22"/>
          <w:shd w:val="clear" w:color="auto" w:fill="FFFFFF"/>
          <w:lang w:eastAsia="en-GB"/>
        </w:rPr>
        <w:t xml:space="preserve">. </w:t>
      </w:r>
      <w:proofErr w:type="spellStart"/>
      <w:r w:rsidRPr="00E442B1">
        <w:rPr>
          <w:rFonts w:ascii="Arial" w:eastAsia="Times New Roman" w:hAnsi="Arial" w:cs="Arial"/>
          <w:color w:val="202122"/>
          <w:sz w:val="22"/>
          <w:szCs w:val="22"/>
          <w:shd w:val="clear" w:color="auto" w:fill="FFFFFF"/>
          <w:lang w:eastAsia="en-GB"/>
        </w:rPr>
        <w:t>Booksfromthefuture</w:t>
      </w:r>
      <w:proofErr w:type="spellEnd"/>
      <w:r w:rsidRPr="00E442B1">
        <w:rPr>
          <w:rFonts w:ascii="Arial" w:eastAsia="Times New Roman" w:hAnsi="Arial" w:cs="Arial"/>
          <w:color w:val="202122"/>
          <w:sz w:val="22"/>
          <w:szCs w:val="22"/>
          <w:shd w:val="clear" w:color="auto" w:fill="FFFFFF"/>
          <w:lang w:eastAsia="en-GB"/>
        </w:rPr>
        <w:t xml:space="preserve"> p.93</w:t>
      </w:r>
    </w:p>
    <w:p w14:paraId="04F96DAC" w14:textId="77777777" w:rsidR="00E442B1" w:rsidRPr="00E442B1" w:rsidRDefault="00E442B1" w:rsidP="00E442B1">
      <w:pPr>
        <w:pStyle w:val="ListParagraph"/>
        <w:numPr>
          <w:ilvl w:val="0"/>
          <w:numId w:val="1"/>
        </w:numPr>
        <w:rPr>
          <w:sz w:val="22"/>
          <w:szCs w:val="22"/>
        </w:rPr>
      </w:pPr>
      <w:r w:rsidRPr="00E442B1">
        <w:rPr>
          <w:rFonts w:ascii="Arial" w:eastAsia="Times New Roman" w:hAnsi="Arial" w:cs="Arial"/>
          <w:color w:val="202122"/>
          <w:sz w:val="22"/>
          <w:szCs w:val="22"/>
          <w:shd w:val="clear" w:color="auto" w:fill="FFFFFF"/>
          <w:lang w:eastAsia="en-GB"/>
        </w:rPr>
        <w:t xml:space="preserve">Ünsal, </w:t>
      </w:r>
      <w:proofErr w:type="spellStart"/>
      <w:r w:rsidRPr="00E442B1">
        <w:rPr>
          <w:rFonts w:ascii="Arial" w:eastAsia="Times New Roman" w:hAnsi="Arial" w:cs="Arial"/>
          <w:color w:val="202122"/>
          <w:sz w:val="22"/>
          <w:szCs w:val="22"/>
          <w:shd w:val="clear" w:color="auto" w:fill="FFFFFF"/>
          <w:lang w:eastAsia="en-GB"/>
        </w:rPr>
        <w:t>Merve</w:t>
      </w:r>
      <w:proofErr w:type="spellEnd"/>
      <w:r w:rsidRPr="00E442B1">
        <w:rPr>
          <w:rFonts w:ascii="Arial" w:eastAsia="Times New Roman" w:hAnsi="Arial" w:cs="Arial"/>
          <w:color w:val="202122"/>
          <w:sz w:val="22"/>
          <w:szCs w:val="22"/>
          <w:shd w:val="clear" w:color="auto" w:fill="FFFFFF"/>
          <w:lang w:eastAsia="en-GB"/>
        </w:rPr>
        <w:t xml:space="preserve"> (2017) </w:t>
      </w:r>
      <w:r w:rsidRPr="00E442B1">
        <w:rPr>
          <w:rFonts w:ascii="Arial" w:eastAsia="Times New Roman" w:hAnsi="Arial" w:cs="Arial"/>
          <w:i/>
          <w:iCs/>
          <w:color w:val="202122"/>
          <w:sz w:val="22"/>
          <w:szCs w:val="22"/>
          <w:shd w:val="clear" w:color="auto" w:fill="FFFFFF"/>
          <w:lang w:eastAsia="en-GB"/>
        </w:rPr>
        <w:t>Performance Society</w:t>
      </w:r>
      <w:r w:rsidRPr="00E442B1">
        <w:rPr>
          <w:rFonts w:ascii="Arial" w:eastAsia="Times New Roman" w:hAnsi="Arial" w:cs="Arial"/>
          <w:color w:val="202122"/>
          <w:sz w:val="22"/>
          <w:szCs w:val="22"/>
          <w:shd w:val="clear" w:color="auto" w:fill="FFFFFF"/>
          <w:lang w:eastAsia="en-GB"/>
        </w:rPr>
        <w:t xml:space="preserve">. </w:t>
      </w:r>
      <w:proofErr w:type="spellStart"/>
      <w:r w:rsidRPr="00E442B1">
        <w:rPr>
          <w:rFonts w:ascii="Arial" w:eastAsia="Times New Roman" w:hAnsi="Arial" w:cs="Arial"/>
          <w:color w:val="202122"/>
          <w:sz w:val="22"/>
          <w:szCs w:val="22"/>
          <w:shd w:val="clear" w:color="auto" w:fill="FFFFFF"/>
          <w:lang w:eastAsia="en-GB"/>
        </w:rPr>
        <w:t>Booksfromthefuture</w:t>
      </w:r>
      <w:proofErr w:type="spellEnd"/>
      <w:r w:rsidRPr="00E442B1">
        <w:rPr>
          <w:rFonts w:ascii="Arial" w:hAnsi="Arial" w:cs="Arial"/>
          <w:sz w:val="22"/>
          <w:szCs w:val="22"/>
        </w:rPr>
        <w:t xml:space="preserve"> P.203</w:t>
      </w:r>
    </w:p>
    <w:p w14:paraId="70FA9951" w14:textId="77777777" w:rsidR="00E442B1" w:rsidRPr="00E442B1" w:rsidRDefault="00E442B1" w:rsidP="00C870EE">
      <w:pPr>
        <w:rPr>
          <w:rFonts w:ascii="Arial" w:eastAsia="Times New Roman" w:hAnsi="Arial" w:cs="Arial"/>
          <w:sz w:val="22"/>
          <w:szCs w:val="22"/>
          <w:lang w:eastAsia="en-GB"/>
        </w:rPr>
      </w:pPr>
    </w:p>
    <w:p w14:paraId="66EA1881" w14:textId="3DBAFDA1" w:rsidR="00E442B1" w:rsidRPr="00E442B1" w:rsidRDefault="00E442B1" w:rsidP="00C870EE">
      <w:pPr>
        <w:rPr>
          <w:rFonts w:ascii="Arial" w:eastAsia="Times New Roman" w:hAnsi="Arial" w:cs="Arial"/>
          <w:sz w:val="22"/>
          <w:szCs w:val="22"/>
          <w:lang w:eastAsia="en-GB"/>
        </w:rPr>
      </w:pPr>
    </w:p>
    <w:p w14:paraId="49A0F17D" w14:textId="77777777" w:rsidR="00E442B1" w:rsidRPr="00E442B1" w:rsidRDefault="00E442B1" w:rsidP="00C870EE">
      <w:pPr>
        <w:rPr>
          <w:rFonts w:ascii="Arial" w:eastAsia="Times New Roman" w:hAnsi="Arial" w:cs="Arial"/>
          <w:sz w:val="22"/>
          <w:szCs w:val="22"/>
          <w:lang w:eastAsia="en-GB"/>
        </w:rPr>
      </w:pPr>
    </w:p>
    <w:p w14:paraId="7096D639" w14:textId="65A53520" w:rsidR="00E442B1" w:rsidRPr="00E442B1" w:rsidRDefault="00E442B1" w:rsidP="00C870EE">
      <w:pPr>
        <w:rPr>
          <w:rFonts w:ascii="Arial" w:eastAsia="Times New Roman" w:hAnsi="Arial" w:cs="Arial"/>
          <w:sz w:val="22"/>
          <w:szCs w:val="22"/>
          <w:lang w:eastAsia="en-GB"/>
        </w:rPr>
      </w:pPr>
    </w:p>
    <w:p w14:paraId="0DF40689" w14:textId="77777777" w:rsidR="00E442B1" w:rsidRPr="00E442B1" w:rsidRDefault="00E442B1" w:rsidP="00C870EE">
      <w:pPr>
        <w:rPr>
          <w:rFonts w:ascii="Arial" w:eastAsia="Times New Roman" w:hAnsi="Arial" w:cs="Arial"/>
          <w:sz w:val="22"/>
          <w:szCs w:val="22"/>
          <w:lang w:eastAsia="en-GB"/>
        </w:rPr>
      </w:pPr>
    </w:p>
    <w:sectPr w:rsidR="00E442B1" w:rsidRPr="00E442B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724AAC1" w14:textId="77777777" w:rsidR="004E4606" w:rsidRDefault="004E4606" w:rsidP="00C870EE">
      <w:r>
        <w:separator/>
      </w:r>
    </w:p>
  </w:endnote>
  <w:endnote w:type="continuationSeparator" w:id="0">
    <w:p w14:paraId="6054A865" w14:textId="77777777" w:rsidR="004E4606" w:rsidRDefault="004E4606" w:rsidP="00C870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6AE5C01" w14:textId="77777777" w:rsidR="004E4606" w:rsidRDefault="004E4606" w:rsidP="00C870EE">
      <w:r>
        <w:separator/>
      </w:r>
    </w:p>
  </w:footnote>
  <w:footnote w:type="continuationSeparator" w:id="0">
    <w:p w14:paraId="71C3B316" w14:textId="77777777" w:rsidR="004E4606" w:rsidRDefault="004E4606" w:rsidP="00C870EE">
      <w:r>
        <w:continuationSeparator/>
      </w:r>
    </w:p>
  </w:footnote>
  <w:footnote w:id="1">
    <w:p w14:paraId="493D610A" w14:textId="50C893EB" w:rsidR="00C870EE" w:rsidRPr="00E442B1" w:rsidRDefault="00C870EE" w:rsidP="00C870EE">
      <w:pPr>
        <w:rPr>
          <w:rFonts w:ascii="Arial" w:eastAsia="Times New Roman" w:hAnsi="Arial" w:cs="Arial"/>
          <w:sz w:val="18"/>
          <w:szCs w:val="18"/>
          <w:lang w:eastAsia="en-GB"/>
        </w:rPr>
      </w:pPr>
      <w:r w:rsidRPr="00E442B1">
        <w:rPr>
          <w:rStyle w:val="FootnoteReference"/>
          <w:rFonts w:ascii="Arial" w:hAnsi="Arial" w:cs="Arial"/>
          <w:sz w:val="18"/>
          <w:szCs w:val="18"/>
        </w:rPr>
        <w:footnoteRef/>
      </w:r>
      <w:r w:rsidRPr="00E442B1">
        <w:rPr>
          <w:rFonts w:ascii="Arial" w:hAnsi="Arial" w:cs="Arial"/>
          <w:sz w:val="18"/>
          <w:szCs w:val="18"/>
        </w:rPr>
        <w:t xml:space="preserve"> </w:t>
      </w:r>
      <w:r w:rsidR="00E442B1" w:rsidRPr="00E442B1">
        <w:rPr>
          <w:rFonts w:ascii="Arial" w:eastAsia="Times New Roman" w:hAnsi="Arial" w:cs="Arial"/>
          <w:color w:val="202122"/>
          <w:sz w:val="18"/>
          <w:szCs w:val="18"/>
          <w:shd w:val="clear" w:color="auto" w:fill="FFFFFF"/>
          <w:lang w:eastAsia="en-GB"/>
        </w:rPr>
        <w:t>Martinez, Y</w:t>
      </w:r>
      <w:r w:rsidR="00E442B1" w:rsidRPr="00E442B1">
        <w:rPr>
          <w:rFonts w:ascii="Arial" w:eastAsia="Times New Roman" w:hAnsi="Arial" w:cs="Arial"/>
          <w:color w:val="202122"/>
          <w:sz w:val="18"/>
          <w:szCs w:val="18"/>
          <w:shd w:val="clear" w:color="auto" w:fill="FFFFFF"/>
          <w:lang w:eastAsia="en-GB"/>
        </w:rPr>
        <w:t>ves</w:t>
      </w:r>
      <w:r w:rsidR="00E442B1" w:rsidRPr="00E442B1">
        <w:rPr>
          <w:rFonts w:ascii="Arial" w:eastAsia="Times New Roman" w:hAnsi="Arial" w:cs="Arial"/>
          <w:color w:val="202122"/>
          <w:sz w:val="18"/>
          <w:szCs w:val="18"/>
          <w:shd w:val="clear" w:color="auto" w:fill="FFFFFF"/>
          <w:lang w:eastAsia="en-GB"/>
        </w:rPr>
        <w:t xml:space="preserve"> &amp; Trees, J</w:t>
      </w:r>
      <w:r w:rsidR="00E442B1" w:rsidRPr="00E442B1">
        <w:rPr>
          <w:rFonts w:ascii="Arial" w:eastAsia="Times New Roman" w:hAnsi="Arial" w:cs="Arial"/>
          <w:color w:val="202122"/>
          <w:sz w:val="18"/>
          <w:szCs w:val="18"/>
          <w:shd w:val="clear" w:color="auto" w:fill="FFFFFF"/>
          <w:lang w:eastAsia="en-GB"/>
        </w:rPr>
        <w:t>oshua</w:t>
      </w:r>
      <w:r w:rsidR="00E442B1" w:rsidRPr="00E442B1">
        <w:rPr>
          <w:rFonts w:ascii="Arial" w:eastAsia="Times New Roman" w:hAnsi="Arial" w:cs="Arial"/>
          <w:color w:val="202122"/>
          <w:sz w:val="18"/>
          <w:szCs w:val="18"/>
          <w:shd w:val="clear" w:color="auto" w:fill="FFFFFF"/>
          <w:lang w:eastAsia="en-GB"/>
        </w:rPr>
        <w:t xml:space="preserve"> (2017) </w:t>
      </w:r>
      <w:r w:rsidR="00E442B1" w:rsidRPr="00E442B1">
        <w:rPr>
          <w:rFonts w:ascii="Arial" w:eastAsia="Times New Roman" w:hAnsi="Arial" w:cs="Arial"/>
          <w:i/>
          <w:iCs/>
          <w:color w:val="202122"/>
          <w:sz w:val="18"/>
          <w:szCs w:val="18"/>
          <w:shd w:val="clear" w:color="auto" w:fill="FFFFFF"/>
          <w:lang w:eastAsia="en-GB"/>
        </w:rPr>
        <w:t>Performance Society</w:t>
      </w:r>
      <w:r w:rsidR="00E442B1" w:rsidRPr="00E442B1">
        <w:rPr>
          <w:rFonts w:ascii="Arial" w:eastAsia="Times New Roman" w:hAnsi="Arial" w:cs="Arial"/>
          <w:color w:val="202122"/>
          <w:sz w:val="18"/>
          <w:szCs w:val="18"/>
          <w:shd w:val="clear" w:color="auto" w:fill="FFFFFF"/>
          <w:lang w:eastAsia="en-GB"/>
        </w:rPr>
        <w:t xml:space="preserve">. </w:t>
      </w:r>
      <w:proofErr w:type="spellStart"/>
      <w:r w:rsidR="00E442B1" w:rsidRPr="00E442B1">
        <w:rPr>
          <w:rFonts w:ascii="Arial" w:eastAsia="Times New Roman" w:hAnsi="Arial" w:cs="Arial"/>
          <w:color w:val="202122"/>
          <w:sz w:val="18"/>
          <w:szCs w:val="18"/>
          <w:shd w:val="clear" w:color="auto" w:fill="FFFFFF"/>
          <w:lang w:eastAsia="en-GB"/>
        </w:rPr>
        <w:t>Booksfromthefuture</w:t>
      </w:r>
      <w:proofErr w:type="spellEnd"/>
      <w:r w:rsidR="00E442B1" w:rsidRPr="00E442B1">
        <w:rPr>
          <w:rFonts w:ascii="Arial" w:eastAsia="Times New Roman" w:hAnsi="Arial" w:cs="Arial"/>
          <w:color w:val="202122"/>
          <w:sz w:val="18"/>
          <w:szCs w:val="18"/>
          <w:shd w:val="clear" w:color="auto" w:fill="FFFFFF"/>
          <w:lang w:eastAsia="en-GB"/>
        </w:rPr>
        <w:br/>
      </w:r>
    </w:p>
  </w:footnote>
  <w:footnote w:id="2">
    <w:p w14:paraId="7B77476C" w14:textId="17681F12" w:rsidR="00C870EE" w:rsidRPr="00E442B1" w:rsidRDefault="00C870EE">
      <w:pPr>
        <w:pStyle w:val="FootnoteText"/>
        <w:rPr>
          <w:rFonts w:ascii="Arial" w:hAnsi="Arial" w:cs="Arial"/>
          <w:sz w:val="18"/>
          <w:szCs w:val="18"/>
        </w:rPr>
      </w:pPr>
      <w:r w:rsidRPr="00E442B1">
        <w:rPr>
          <w:rStyle w:val="FootnoteReference"/>
          <w:rFonts w:ascii="Arial" w:hAnsi="Arial" w:cs="Arial"/>
          <w:sz w:val="18"/>
          <w:szCs w:val="18"/>
        </w:rPr>
        <w:footnoteRef/>
      </w:r>
      <w:r w:rsidRPr="00E442B1">
        <w:rPr>
          <w:rFonts w:ascii="Arial" w:hAnsi="Arial" w:cs="Arial"/>
          <w:sz w:val="18"/>
          <w:szCs w:val="18"/>
        </w:rPr>
        <w:t xml:space="preserve"> Ibid.</w:t>
      </w:r>
      <w:r w:rsidR="00E442B1" w:rsidRPr="00E442B1">
        <w:rPr>
          <w:rFonts w:ascii="Arial" w:hAnsi="Arial" w:cs="Arial"/>
          <w:sz w:val="18"/>
          <w:szCs w:val="18"/>
        </w:rPr>
        <w:t xml:space="preserve"> </w:t>
      </w:r>
      <w:r w:rsidR="00E442B1" w:rsidRPr="00E442B1">
        <w:rPr>
          <w:rFonts w:ascii="Arial" w:eastAsia="Times New Roman" w:hAnsi="Arial" w:cs="Arial"/>
          <w:color w:val="202122"/>
          <w:sz w:val="18"/>
          <w:szCs w:val="18"/>
          <w:shd w:val="clear" w:color="auto" w:fill="FFFFFF"/>
          <w:lang w:eastAsia="en-GB"/>
        </w:rPr>
        <w:t xml:space="preserve">Ünsal, </w:t>
      </w:r>
      <w:proofErr w:type="spellStart"/>
      <w:r w:rsidR="00E442B1" w:rsidRPr="00E442B1">
        <w:rPr>
          <w:rFonts w:ascii="Arial" w:eastAsia="Times New Roman" w:hAnsi="Arial" w:cs="Arial"/>
          <w:color w:val="202122"/>
          <w:sz w:val="18"/>
          <w:szCs w:val="18"/>
          <w:shd w:val="clear" w:color="auto" w:fill="FFFFFF"/>
          <w:lang w:eastAsia="en-GB"/>
        </w:rPr>
        <w:t>Merve</w:t>
      </w:r>
      <w:proofErr w:type="spellEnd"/>
      <w:r w:rsidR="00E442B1" w:rsidRPr="00E442B1">
        <w:rPr>
          <w:rFonts w:ascii="Arial" w:eastAsia="Times New Roman" w:hAnsi="Arial" w:cs="Arial"/>
          <w:color w:val="202122"/>
          <w:sz w:val="18"/>
          <w:szCs w:val="18"/>
          <w:shd w:val="clear" w:color="auto" w:fill="FFFFFF"/>
          <w:lang w:eastAsia="en-GB"/>
        </w:rPr>
        <w:t xml:space="preserve"> (2017) </w:t>
      </w:r>
      <w:r w:rsidR="00E442B1" w:rsidRPr="00E442B1">
        <w:rPr>
          <w:rFonts w:ascii="Arial" w:eastAsia="Times New Roman" w:hAnsi="Arial" w:cs="Arial"/>
          <w:i/>
          <w:iCs/>
          <w:color w:val="202122"/>
          <w:sz w:val="18"/>
          <w:szCs w:val="18"/>
          <w:shd w:val="clear" w:color="auto" w:fill="FFFFFF"/>
          <w:lang w:eastAsia="en-GB"/>
        </w:rPr>
        <w:t>Performance Society</w:t>
      </w:r>
      <w:r w:rsidR="00E442B1" w:rsidRPr="00E442B1">
        <w:rPr>
          <w:rFonts w:ascii="Arial" w:eastAsia="Times New Roman" w:hAnsi="Arial" w:cs="Arial"/>
          <w:color w:val="202122"/>
          <w:sz w:val="18"/>
          <w:szCs w:val="18"/>
          <w:shd w:val="clear" w:color="auto" w:fill="FFFFFF"/>
          <w:lang w:eastAsia="en-GB"/>
        </w:rPr>
        <w:t xml:space="preserve">. </w:t>
      </w:r>
      <w:proofErr w:type="spellStart"/>
      <w:r w:rsidR="00E442B1" w:rsidRPr="00E442B1">
        <w:rPr>
          <w:rFonts w:ascii="Arial" w:eastAsia="Times New Roman" w:hAnsi="Arial" w:cs="Arial"/>
          <w:color w:val="202122"/>
          <w:sz w:val="18"/>
          <w:szCs w:val="18"/>
          <w:shd w:val="clear" w:color="auto" w:fill="FFFFFF"/>
          <w:lang w:eastAsia="en-GB"/>
        </w:rPr>
        <w:t>Booksfromthefuture</w:t>
      </w:r>
      <w:proofErr w:type="spellEnd"/>
      <w:r w:rsidRPr="00E442B1">
        <w:rPr>
          <w:rFonts w:ascii="Arial" w:hAnsi="Arial" w:cs="Arial"/>
          <w:sz w:val="18"/>
          <w:szCs w:val="18"/>
        </w:rPr>
        <w:t xml:space="preserve"> P.203</w:t>
      </w:r>
      <w:r w:rsidR="00E442B1" w:rsidRPr="00E442B1">
        <w:rPr>
          <w:rFonts w:ascii="Arial" w:hAnsi="Arial" w:cs="Arial"/>
          <w:sz w:val="18"/>
          <w:szCs w:val="18"/>
        </w:rPr>
        <w:br/>
      </w:r>
    </w:p>
  </w:footnote>
  <w:footnote w:id="3">
    <w:p w14:paraId="323B12C3" w14:textId="115295EB" w:rsidR="00E442B1" w:rsidRPr="00E442B1" w:rsidRDefault="00E442B1">
      <w:pPr>
        <w:pStyle w:val="FootnoteText"/>
        <w:rPr>
          <w:rFonts w:ascii="Arial" w:hAnsi="Arial" w:cs="Arial"/>
          <w:sz w:val="18"/>
          <w:szCs w:val="18"/>
        </w:rPr>
      </w:pPr>
      <w:r w:rsidRPr="00E442B1">
        <w:rPr>
          <w:rStyle w:val="FootnoteReference"/>
          <w:rFonts w:ascii="Arial" w:hAnsi="Arial" w:cs="Arial"/>
          <w:sz w:val="18"/>
          <w:szCs w:val="18"/>
        </w:rPr>
        <w:footnoteRef/>
      </w:r>
      <w:r w:rsidRPr="00E442B1">
        <w:rPr>
          <w:rFonts w:ascii="Arial" w:hAnsi="Arial" w:cs="Arial"/>
          <w:sz w:val="18"/>
          <w:szCs w:val="18"/>
        </w:rPr>
        <w:t xml:space="preserve"> </w:t>
      </w:r>
      <w:r w:rsidRPr="00E442B1">
        <w:rPr>
          <w:rFonts w:ascii="Arial" w:hAnsi="Arial" w:cs="Arial"/>
          <w:color w:val="000000" w:themeColor="text1"/>
          <w:sz w:val="18"/>
          <w:szCs w:val="18"/>
          <w:shd w:val="clear" w:color="auto" w:fill="FCFCFC"/>
        </w:rPr>
        <w:t>Bandura, A</w:t>
      </w:r>
      <w:r w:rsidRPr="00E442B1">
        <w:rPr>
          <w:rFonts w:ascii="Arial" w:hAnsi="Arial" w:cs="Arial"/>
          <w:color w:val="000000" w:themeColor="text1"/>
          <w:sz w:val="18"/>
          <w:szCs w:val="18"/>
          <w:shd w:val="clear" w:color="auto" w:fill="FCFCFC"/>
        </w:rPr>
        <w:t>lbert</w:t>
      </w:r>
      <w:r w:rsidRPr="00E442B1">
        <w:rPr>
          <w:rFonts w:ascii="Arial" w:hAnsi="Arial" w:cs="Arial"/>
          <w:color w:val="000000" w:themeColor="text1"/>
          <w:sz w:val="18"/>
          <w:szCs w:val="18"/>
          <w:shd w:val="clear" w:color="auto" w:fill="FCFCFC"/>
        </w:rPr>
        <w:t xml:space="preserve"> (1977). </w:t>
      </w:r>
      <w:r w:rsidRPr="00E442B1">
        <w:rPr>
          <w:rFonts w:ascii="Arial" w:hAnsi="Arial" w:cs="Arial"/>
          <w:i/>
          <w:iCs/>
          <w:color w:val="000000" w:themeColor="text1"/>
          <w:sz w:val="18"/>
          <w:szCs w:val="18"/>
        </w:rPr>
        <w:t>Social learning theory</w:t>
      </w:r>
      <w:r w:rsidRPr="00E442B1">
        <w:rPr>
          <w:rFonts w:ascii="Arial" w:hAnsi="Arial" w:cs="Arial"/>
          <w:color w:val="000000" w:themeColor="text1"/>
          <w:sz w:val="18"/>
          <w:szCs w:val="18"/>
          <w:shd w:val="clear" w:color="auto" w:fill="FCFCFC"/>
        </w:rPr>
        <w:t>. New Jersey: Prentice Hall.</w:t>
      </w:r>
      <w:r w:rsidRPr="00E442B1">
        <w:rPr>
          <w:rFonts w:ascii="Arial" w:hAnsi="Arial" w:cs="Arial"/>
          <w:color w:val="000000" w:themeColor="text1"/>
          <w:sz w:val="18"/>
          <w:szCs w:val="18"/>
          <w:shd w:val="clear" w:color="auto" w:fill="FCFCFC"/>
        </w:rPr>
        <w:br/>
      </w:r>
    </w:p>
  </w:footnote>
  <w:footnote w:id="4">
    <w:p w14:paraId="33200360" w14:textId="317E9ABE" w:rsidR="00E442B1" w:rsidRPr="00E442B1" w:rsidRDefault="00E442B1">
      <w:pPr>
        <w:pStyle w:val="FootnoteText"/>
        <w:rPr>
          <w:rFonts w:ascii="Arial" w:hAnsi="Arial" w:cs="Arial"/>
          <w:sz w:val="18"/>
          <w:szCs w:val="18"/>
        </w:rPr>
      </w:pPr>
      <w:r w:rsidRPr="00E442B1">
        <w:rPr>
          <w:rStyle w:val="FootnoteReference"/>
          <w:rFonts w:ascii="Arial" w:hAnsi="Arial" w:cs="Arial"/>
          <w:sz w:val="18"/>
          <w:szCs w:val="18"/>
        </w:rPr>
        <w:footnoteRef/>
      </w:r>
      <w:r w:rsidRPr="00E442B1">
        <w:rPr>
          <w:rFonts w:ascii="Arial" w:hAnsi="Arial" w:cs="Arial"/>
          <w:sz w:val="18"/>
          <w:szCs w:val="18"/>
        </w:rPr>
        <w:t xml:space="preserve"> </w:t>
      </w:r>
      <w:r w:rsidRPr="00E442B1">
        <w:rPr>
          <w:rFonts w:ascii="Arial" w:hAnsi="Arial" w:cs="Arial"/>
          <w:color w:val="000000" w:themeColor="text1"/>
          <w:sz w:val="18"/>
          <w:szCs w:val="18"/>
          <w:shd w:val="clear" w:color="auto" w:fill="FCFCFC"/>
        </w:rPr>
        <w:t>McLain, M</w:t>
      </w:r>
      <w:r w:rsidRPr="00E442B1">
        <w:rPr>
          <w:rFonts w:ascii="Arial" w:hAnsi="Arial" w:cs="Arial"/>
          <w:color w:val="000000" w:themeColor="text1"/>
          <w:sz w:val="18"/>
          <w:szCs w:val="18"/>
          <w:shd w:val="clear" w:color="auto" w:fill="FCFCFC"/>
        </w:rPr>
        <w:t>att</w:t>
      </w:r>
      <w:r w:rsidRPr="00E442B1">
        <w:rPr>
          <w:rFonts w:ascii="Arial" w:hAnsi="Arial" w:cs="Arial"/>
          <w:color w:val="000000" w:themeColor="text1"/>
          <w:sz w:val="18"/>
          <w:szCs w:val="18"/>
          <w:shd w:val="clear" w:color="auto" w:fill="FCFCFC"/>
        </w:rPr>
        <w:t xml:space="preserve"> (2021) </w:t>
      </w:r>
      <w:r w:rsidRPr="00E442B1">
        <w:rPr>
          <w:rFonts w:ascii="Arial" w:hAnsi="Arial" w:cs="Arial"/>
          <w:i/>
          <w:iCs/>
          <w:color w:val="000000" w:themeColor="text1"/>
          <w:sz w:val="18"/>
          <w:szCs w:val="18"/>
          <w:shd w:val="clear" w:color="auto" w:fill="FCFCFC"/>
        </w:rPr>
        <w:t>Developing perspectives on ‘the demonstration’ as a signature pedagogy in design and technology education</w:t>
      </w:r>
      <w:r w:rsidRPr="00E442B1">
        <w:rPr>
          <w:rFonts w:ascii="Arial" w:hAnsi="Arial" w:cs="Arial"/>
          <w:color w:val="000000" w:themeColor="text1"/>
          <w:sz w:val="18"/>
          <w:szCs w:val="18"/>
          <w:shd w:val="clear" w:color="auto" w:fill="FCFCFC"/>
        </w:rPr>
        <w:t>, </w:t>
      </w:r>
      <w:r w:rsidRPr="00E442B1">
        <w:rPr>
          <w:rFonts w:ascii="Arial" w:hAnsi="Arial" w:cs="Arial"/>
          <w:color w:val="000000" w:themeColor="text1"/>
          <w:sz w:val="18"/>
          <w:szCs w:val="18"/>
        </w:rPr>
        <w:t>Int J Technology Design Education</w:t>
      </w:r>
      <w:r w:rsidRPr="00E442B1">
        <w:rPr>
          <w:rFonts w:ascii="Arial" w:hAnsi="Arial" w:cs="Arial"/>
          <w:color w:val="000000" w:themeColor="text1"/>
          <w:sz w:val="18"/>
          <w:szCs w:val="18"/>
          <w:shd w:val="clear" w:color="auto" w:fill="FCFCFC"/>
        </w:rPr>
        <w:t> </w:t>
      </w:r>
      <w:r w:rsidRPr="00E442B1">
        <w:rPr>
          <w:rFonts w:ascii="Arial" w:hAnsi="Arial" w:cs="Arial"/>
          <w:color w:val="000000" w:themeColor="text1"/>
          <w:sz w:val="18"/>
          <w:szCs w:val="18"/>
        </w:rPr>
        <w:t xml:space="preserve">31, p. </w:t>
      </w:r>
      <w:r w:rsidRPr="00E442B1">
        <w:rPr>
          <w:rFonts w:ascii="Arial" w:hAnsi="Arial" w:cs="Arial"/>
          <w:color w:val="000000" w:themeColor="text1"/>
          <w:sz w:val="18"/>
          <w:szCs w:val="18"/>
          <w:shd w:val="clear" w:color="auto" w:fill="FCFCFC"/>
        </w:rPr>
        <w:t>3–26 </w:t>
      </w:r>
      <w:r w:rsidRPr="00E442B1">
        <w:rPr>
          <w:rFonts w:ascii="Arial" w:hAnsi="Arial" w:cs="Arial"/>
          <w:color w:val="000000" w:themeColor="text1"/>
          <w:sz w:val="18"/>
          <w:szCs w:val="18"/>
          <w:shd w:val="clear" w:color="auto" w:fill="FCFCFC"/>
        </w:rPr>
        <w:br/>
      </w:r>
    </w:p>
  </w:footnote>
  <w:footnote w:id="5">
    <w:p w14:paraId="4E00DBCA" w14:textId="77B7A9CC" w:rsidR="00E442B1" w:rsidRPr="00E442B1" w:rsidRDefault="00E442B1">
      <w:pPr>
        <w:pStyle w:val="FootnoteText"/>
        <w:rPr>
          <w:rFonts w:ascii="Arial" w:hAnsi="Arial" w:cs="Arial"/>
          <w:sz w:val="18"/>
          <w:szCs w:val="18"/>
        </w:rPr>
      </w:pPr>
      <w:r w:rsidRPr="00E442B1">
        <w:rPr>
          <w:rStyle w:val="FootnoteReference"/>
          <w:rFonts w:ascii="Arial" w:hAnsi="Arial" w:cs="Arial"/>
          <w:sz w:val="18"/>
          <w:szCs w:val="18"/>
        </w:rPr>
        <w:footnoteRef/>
      </w:r>
      <w:r w:rsidRPr="00E442B1">
        <w:rPr>
          <w:rFonts w:ascii="Arial" w:hAnsi="Arial" w:cs="Arial"/>
          <w:sz w:val="18"/>
          <w:szCs w:val="18"/>
        </w:rPr>
        <w:t xml:space="preserve"> Cage, John (1959) </w:t>
      </w:r>
      <w:r w:rsidRPr="00E442B1">
        <w:rPr>
          <w:rFonts w:ascii="Arial" w:hAnsi="Arial" w:cs="Arial"/>
          <w:i/>
          <w:iCs/>
          <w:sz w:val="18"/>
          <w:szCs w:val="18"/>
        </w:rPr>
        <w:t>Lecture on Nothing.</w:t>
      </w:r>
      <w:r w:rsidRPr="00E442B1">
        <w:rPr>
          <w:rFonts w:ascii="Arial" w:hAnsi="Arial" w:cs="Arial"/>
          <w:sz w:val="18"/>
          <w:szCs w:val="18"/>
        </w:rPr>
        <w:t xml:space="preserve"> </w:t>
      </w:r>
      <w:proofErr w:type="spellStart"/>
      <w:r w:rsidRPr="00E442B1">
        <w:rPr>
          <w:rFonts w:ascii="Arial" w:hAnsi="Arial" w:cs="Arial"/>
          <w:sz w:val="18"/>
          <w:szCs w:val="18"/>
        </w:rPr>
        <w:t>Incontri</w:t>
      </w:r>
      <w:proofErr w:type="spellEnd"/>
      <w:r w:rsidRPr="00E442B1">
        <w:rPr>
          <w:rFonts w:ascii="Arial" w:hAnsi="Arial" w:cs="Arial"/>
          <w:sz w:val="18"/>
          <w:szCs w:val="18"/>
        </w:rPr>
        <w:t xml:space="preserve"> </w:t>
      </w:r>
      <w:proofErr w:type="spellStart"/>
      <w:r w:rsidRPr="00E442B1">
        <w:rPr>
          <w:rFonts w:ascii="Arial" w:hAnsi="Arial" w:cs="Arial"/>
          <w:sz w:val="18"/>
          <w:szCs w:val="18"/>
        </w:rPr>
        <w:t>Musicali</w:t>
      </w:r>
      <w:proofErr w:type="spellEnd"/>
      <w:r w:rsidRPr="00E442B1">
        <w:rPr>
          <w:rFonts w:ascii="Arial" w:hAnsi="Arial" w:cs="Arial"/>
          <w:sz w:val="18"/>
          <w:szCs w:val="18"/>
        </w:rPr>
        <w:t xml:space="preserve">. </w:t>
      </w:r>
      <w:r w:rsidRPr="00E442B1">
        <w:rPr>
          <w:rFonts w:ascii="Arial" w:eastAsia="Times New Roman" w:hAnsi="Arial" w:cs="Arial"/>
          <w:sz w:val="18"/>
          <w:szCs w:val="18"/>
          <w:lang w:eastAsia="en-GB"/>
        </w:rPr>
        <w:t>&lt;https://seansturm.files.wordpress.com/2012/09/john-cage-lecture-on-nothing.pdf&gt; Accessed April 2024</w:t>
      </w:r>
    </w:p>
  </w:footnote>
  <w:footnote w:id="6">
    <w:p w14:paraId="0066EE2C" w14:textId="093914BB" w:rsidR="00E442B1" w:rsidRPr="00E442B1" w:rsidRDefault="00E442B1">
      <w:pPr>
        <w:pStyle w:val="FootnoteText"/>
        <w:rPr>
          <w:rFonts w:ascii="Arial" w:hAnsi="Arial" w:cs="Arial"/>
          <w:sz w:val="18"/>
          <w:szCs w:val="18"/>
        </w:rPr>
      </w:pPr>
      <w:r w:rsidRPr="00E442B1">
        <w:rPr>
          <w:rStyle w:val="FootnoteReference"/>
          <w:rFonts w:ascii="Arial" w:hAnsi="Arial" w:cs="Arial"/>
          <w:sz w:val="18"/>
          <w:szCs w:val="18"/>
        </w:rPr>
        <w:footnoteRef/>
      </w:r>
      <w:r w:rsidRPr="00E442B1">
        <w:rPr>
          <w:rFonts w:ascii="Arial" w:hAnsi="Arial" w:cs="Arial"/>
          <w:sz w:val="18"/>
          <w:szCs w:val="18"/>
        </w:rPr>
        <w:t xml:space="preserve"> </w:t>
      </w:r>
      <w:r w:rsidRPr="00E442B1">
        <w:rPr>
          <w:rFonts w:ascii="Arial" w:eastAsia="Times New Roman" w:hAnsi="Arial" w:cs="Arial"/>
          <w:color w:val="202122"/>
          <w:sz w:val="18"/>
          <w:szCs w:val="18"/>
          <w:shd w:val="clear" w:color="auto" w:fill="FFFFFF"/>
          <w:lang w:eastAsia="en-GB"/>
        </w:rPr>
        <w:t>Martinez, Y. &amp; Trees, J.</w:t>
      </w:r>
      <w:r w:rsidRPr="00E442B1">
        <w:rPr>
          <w:rFonts w:ascii="Arial" w:eastAsia="Times New Roman" w:hAnsi="Arial" w:cs="Arial"/>
          <w:color w:val="202122"/>
          <w:sz w:val="18"/>
          <w:szCs w:val="18"/>
          <w:shd w:val="clear" w:color="auto" w:fill="FFFFFF"/>
          <w:lang w:eastAsia="en-GB"/>
        </w:rPr>
        <w:t xml:space="preserve"> (2017) </w:t>
      </w:r>
      <w:r w:rsidRPr="00E442B1">
        <w:rPr>
          <w:rFonts w:ascii="Arial" w:eastAsia="Times New Roman" w:hAnsi="Arial" w:cs="Arial"/>
          <w:i/>
          <w:iCs/>
          <w:color w:val="202122"/>
          <w:sz w:val="18"/>
          <w:szCs w:val="18"/>
          <w:shd w:val="clear" w:color="auto" w:fill="FFFFFF"/>
          <w:lang w:eastAsia="en-GB"/>
        </w:rPr>
        <w:t>Performance Society</w:t>
      </w:r>
      <w:r w:rsidRPr="00E442B1">
        <w:rPr>
          <w:rFonts w:ascii="Arial" w:eastAsia="Times New Roman" w:hAnsi="Arial" w:cs="Arial"/>
          <w:color w:val="202122"/>
          <w:sz w:val="18"/>
          <w:szCs w:val="18"/>
          <w:shd w:val="clear" w:color="auto" w:fill="FFFFFF"/>
          <w:lang w:eastAsia="en-GB"/>
        </w:rPr>
        <w:t xml:space="preserve">. </w:t>
      </w:r>
      <w:proofErr w:type="spellStart"/>
      <w:r w:rsidRPr="00E442B1">
        <w:rPr>
          <w:rFonts w:ascii="Arial" w:eastAsia="Times New Roman" w:hAnsi="Arial" w:cs="Arial"/>
          <w:color w:val="202122"/>
          <w:sz w:val="18"/>
          <w:szCs w:val="18"/>
          <w:shd w:val="clear" w:color="auto" w:fill="FFFFFF"/>
          <w:lang w:eastAsia="en-GB"/>
        </w:rPr>
        <w:t>Booksfromthefuture</w:t>
      </w:r>
      <w:proofErr w:type="spellEnd"/>
      <w:r w:rsidRPr="00E442B1">
        <w:rPr>
          <w:rFonts w:ascii="Arial" w:eastAsia="Times New Roman" w:hAnsi="Arial" w:cs="Arial"/>
          <w:color w:val="202122"/>
          <w:sz w:val="18"/>
          <w:szCs w:val="18"/>
          <w:shd w:val="clear" w:color="auto" w:fill="FFFFFF"/>
          <w:lang w:eastAsia="en-GB"/>
        </w:rPr>
        <w:br/>
      </w:r>
    </w:p>
  </w:footnote>
  <w:footnote w:id="7">
    <w:p w14:paraId="75ED4E30" w14:textId="0895A6ED" w:rsidR="00E442B1" w:rsidRPr="00E442B1" w:rsidRDefault="00E442B1" w:rsidP="00E442B1">
      <w:pPr>
        <w:pStyle w:val="FootnoteText"/>
        <w:rPr>
          <w:rFonts w:ascii="Arial" w:hAnsi="Arial" w:cs="Arial"/>
          <w:sz w:val="18"/>
          <w:szCs w:val="18"/>
        </w:rPr>
      </w:pPr>
      <w:r w:rsidRPr="00E442B1">
        <w:rPr>
          <w:rStyle w:val="FootnoteReference"/>
          <w:rFonts w:ascii="Arial" w:hAnsi="Arial" w:cs="Arial"/>
          <w:sz w:val="18"/>
          <w:szCs w:val="18"/>
        </w:rPr>
        <w:footnoteRef/>
      </w:r>
      <w:r w:rsidRPr="00E442B1">
        <w:rPr>
          <w:rFonts w:ascii="Arial" w:hAnsi="Arial" w:cs="Arial"/>
          <w:sz w:val="18"/>
          <w:szCs w:val="18"/>
        </w:rPr>
        <w:t xml:space="preserve"> </w:t>
      </w:r>
      <w:proofErr w:type="spellStart"/>
      <w:r w:rsidRPr="00E442B1">
        <w:rPr>
          <w:rFonts w:ascii="Arial" w:hAnsi="Arial" w:cs="Arial"/>
          <w:sz w:val="18"/>
          <w:szCs w:val="18"/>
        </w:rPr>
        <w:t>Rowlinson</w:t>
      </w:r>
      <w:proofErr w:type="spellEnd"/>
      <w:r w:rsidRPr="00E442B1">
        <w:rPr>
          <w:rFonts w:ascii="Arial" w:hAnsi="Arial" w:cs="Arial"/>
          <w:sz w:val="18"/>
          <w:szCs w:val="18"/>
        </w:rPr>
        <w:t xml:space="preserve">, Jacob (2017) </w:t>
      </w:r>
      <w:r w:rsidRPr="00E442B1">
        <w:rPr>
          <w:rFonts w:ascii="Arial" w:eastAsia="Times New Roman" w:hAnsi="Arial" w:cs="Arial"/>
          <w:i/>
          <w:iCs/>
          <w:color w:val="202122"/>
          <w:sz w:val="18"/>
          <w:szCs w:val="18"/>
          <w:shd w:val="clear" w:color="auto" w:fill="FFFFFF"/>
          <w:lang w:eastAsia="en-GB"/>
        </w:rPr>
        <w:t>Performance Society</w:t>
      </w:r>
      <w:r w:rsidRPr="00E442B1">
        <w:rPr>
          <w:rFonts w:ascii="Arial" w:eastAsia="Times New Roman" w:hAnsi="Arial" w:cs="Arial"/>
          <w:color w:val="202122"/>
          <w:sz w:val="18"/>
          <w:szCs w:val="18"/>
          <w:shd w:val="clear" w:color="auto" w:fill="FFFFFF"/>
          <w:lang w:eastAsia="en-GB"/>
        </w:rPr>
        <w:t xml:space="preserve">. </w:t>
      </w:r>
      <w:proofErr w:type="spellStart"/>
      <w:r w:rsidRPr="00E442B1">
        <w:rPr>
          <w:rFonts w:ascii="Arial" w:eastAsia="Times New Roman" w:hAnsi="Arial" w:cs="Arial"/>
          <w:color w:val="202122"/>
          <w:sz w:val="18"/>
          <w:szCs w:val="18"/>
          <w:shd w:val="clear" w:color="auto" w:fill="FFFFFF"/>
          <w:lang w:eastAsia="en-GB"/>
        </w:rPr>
        <w:t>Booksfromthefuture</w:t>
      </w:r>
      <w:proofErr w:type="spellEnd"/>
      <w:r w:rsidRPr="00E442B1">
        <w:rPr>
          <w:rFonts w:ascii="Arial" w:eastAsia="Times New Roman" w:hAnsi="Arial" w:cs="Arial"/>
          <w:color w:val="202122"/>
          <w:sz w:val="18"/>
          <w:szCs w:val="18"/>
          <w:shd w:val="clear" w:color="auto" w:fill="FFFFFF"/>
          <w:lang w:eastAsia="en-GB"/>
        </w:rPr>
        <w:t xml:space="preserve"> p.93</w:t>
      </w:r>
    </w:p>
    <w:p w14:paraId="69B6662F" w14:textId="2BDD6DB7" w:rsidR="00E442B1" w:rsidRPr="00E442B1" w:rsidRDefault="00E442B1">
      <w:pPr>
        <w:pStyle w:val="FootnoteText"/>
        <w:rPr>
          <w:rFonts w:ascii="Arial" w:hAnsi="Arial" w:cs="Arial"/>
          <w:sz w:val="18"/>
          <w:szCs w:val="18"/>
        </w:rPr>
      </w:pPr>
    </w:p>
  </w:footnote>
  <w:footnote w:id="8">
    <w:p w14:paraId="7A1AF23A" w14:textId="43F3CC13" w:rsidR="00E442B1" w:rsidRPr="00E442B1" w:rsidRDefault="00E442B1">
      <w:pPr>
        <w:pStyle w:val="FootnoteText"/>
        <w:rPr>
          <w:rFonts w:ascii="Arial" w:hAnsi="Arial" w:cs="Arial"/>
          <w:sz w:val="18"/>
          <w:szCs w:val="18"/>
        </w:rPr>
      </w:pPr>
      <w:r w:rsidRPr="00E442B1">
        <w:rPr>
          <w:rStyle w:val="FootnoteReference"/>
          <w:rFonts w:ascii="Arial" w:hAnsi="Arial" w:cs="Arial"/>
          <w:sz w:val="18"/>
          <w:szCs w:val="18"/>
        </w:rPr>
        <w:footnoteRef/>
      </w:r>
      <w:r w:rsidRPr="00E442B1">
        <w:rPr>
          <w:rFonts w:ascii="Arial" w:hAnsi="Arial" w:cs="Arial"/>
          <w:sz w:val="18"/>
          <w:szCs w:val="18"/>
        </w:rPr>
        <w:t xml:space="preserve"> </w:t>
      </w:r>
      <w:proofErr w:type="spellStart"/>
      <w:r w:rsidRPr="00E442B1">
        <w:rPr>
          <w:rFonts w:ascii="Arial" w:hAnsi="Arial" w:cs="Arial"/>
          <w:sz w:val="18"/>
          <w:szCs w:val="18"/>
        </w:rPr>
        <w:t>Ehenreich</w:t>
      </w:r>
      <w:proofErr w:type="spellEnd"/>
      <w:r w:rsidRPr="00E442B1">
        <w:rPr>
          <w:rFonts w:ascii="Arial" w:hAnsi="Arial" w:cs="Arial"/>
          <w:sz w:val="18"/>
          <w:szCs w:val="18"/>
        </w:rPr>
        <w:t xml:space="preserve">, </w:t>
      </w:r>
      <w:proofErr w:type="spellStart"/>
      <w:r w:rsidRPr="00E442B1">
        <w:rPr>
          <w:rFonts w:ascii="Arial" w:hAnsi="Arial" w:cs="Arial"/>
          <w:sz w:val="18"/>
          <w:szCs w:val="18"/>
        </w:rPr>
        <w:t>Barabara</w:t>
      </w:r>
      <w:proofErr w:type="spellEnd"/>
      <w:r w:rsidRPr="00E442B1">
        <w:rPr>
          <w:rFonts w:ascii="Arial" w:hAnsi="Arial" w:cs="Arial"/>
          <w:sz w:val="18"/>
          <w:szCs w:val="18"/>
        </w:rPr>
        <w:t xml:space="preserve"> (2007) </w:t>
      </w:r>
      <w:r w:rsidRPr="00E442B1">
        <w:rPr>
          <w:rFonts w:ascii="Arial" w:eastAsia="Times New Roman" w:hAnsi="Arial" w:cs="Arial"/>
          <w:i/>
          <w:iCs/>
          <w:sz w:val="18"/>
          <w:szCs w:val="18"/>
          <w:lang w:eastAsia="en-GB"/>
        </w:rPr>
        <w:t>Dancing in the Street: A History of Collective Joy</w:t>
      </w:r>
      <w:r w:rsidRPr="00E442B1">
        <w:rPr>
          <w:rFonts w:ascii="Arial" w:eastAsia="Times New Roman" w:hAnsi="Arial" w:cs="Arial"/>
          <w:i/>
          <w:iCs/>
          <w:sz w:val="18"/>
          <w:szCs w:val="18"/>
          <w:lang w:eastAsia="en-GB"/>
        </w:rPr>
        <w:t>.</w:t>
      </w:r>
      <w:r w:rsidRPr="00E442B1">
        <w:rPr>
          <w:rFonts w:ascii="Arial" w:eastAsia="Times New Roman" w:hAnsi="Arial" w:cs="Arial"/>
          <w:sz w:val="18"/>
          <w:szCs w:val="18"/>
          <w:lang w:eastAsia="en-GB"/>
        </w:rPr>
        <w:t xml:space="preserve"> </w:t>
      </w:r>
      <w:r w:rsidRPr="00E442B1">
        <w:rPr>
          <w:rFonts w:ascii="Arial" w:hAnsi="Arial" w:cs="Arial"/>
          <w:sz w:val="18"/>
          <w:szCs w:val="18"/>
        </w:rPr>
        <w:t>MacMillan Publishing: Holt Paperbacks.</w:t>
      </w:r>
      <w:r w:rsidRPr="00E442B1">
        <w:rPr>
          <w:rFonts w:ascii="Arial" w:hAnsi="Arial" w:cs="Arial"/>
          <w:sz w:val="18"/>
          <w:szCs w:val="18"/>
        </w:rPr>
        <w:br/>
      </w:r>
    </w:p>
  </w:footnote>
  <w:footnote w:id="9">
    <w:p w14:paraId="10E976F8" w14:textId="100FA922" w:rsidR="00E442B1" w:rsidRPr="00E442B1" w:rsidRDefault="00E442B1">
      <w:pPr>
        <w:pStyle w:val="FootnoteText"/>
        <w:rPr>
          <w:rFonts w:ascii="Arial" w:hAnsi="Arial" w:cs="Arial"/>
          <w:sz w:val="18"/>
          <w:szCs w:val="18"/>
        </w:rPr>
      </w:pPr>
      <w:r w:rsidRPr="00E442B1">
        <w:rPr>
          <w:rStyle w:val="FootnoteReference"/>
          <w:rFonts w:ascii="Arial" w:hAnsi="Arial" w:cs="Arial"/>
          <w:sz w:val="18"/>
          <w:szCs w:val="18"/>
        </w:rPr>
        <w:footnoteRef/>
      </w:r>
      <w:r w:rsidRPr="00E442B1">
        <w:rPr>
          <w:rFonts w:ascii="Arial" w:hAnsi="Arial" w:cs="Arial"/>
          <w:sz w:val="18"/>
          <w:szCs w:val="18"/>
        </w:rPr>
        <w:t xml:space="preserve"> </w:t>
      </w:r>
      <w:proofErr w:type="spellStart"/>
      <w:r w:rsidRPr="00E442B1">
        <w:rPr>
          <w:rFonts w:ascii="Arial" w:hAnsi="Arial" w:cs="Arial"/>
          <w:sz w:val="18"/>
          <w:szCs w:val="18"/>
        </w:rPr>
        <w:t>Rowlinson</w:t>
      </w:r>
      <w:proofErr w:type="spellEnd"/>
      <w:r w:rsidRPr="00E442B1">
        <w:rPr>
          <w:rFonts w:ascii="Arial" w:hAnsi="Arial" w:cs="Arial"/>
          <w:sz w:val="18"/>
          <w:szCs w:val="18"/>
        </w:rPr>
        <w:t xml:space="preserve">, Jacob (2017) </w:t>
      </w:r>
      <w:r w:rsidRPr="00E442B1">
        <w:rPr>
          <w:rFonts w:ascii="Arial" w:eastAsia="Times New Roman" w:hAnsi="Arial" w:cs="Arial"/>
          <w:i/>
          <w:iCs/>
          <w:color w:val="202122"/>
          <w:sz w:val="18"/>
          <w:szCs w:val="18"/>
          <w:shd w:val="clear" w:color="auto" w:fill="FFFFFF"/>
          <w:lang w:eastAsia="en-GB"/>
        </w:rPr>
        <w:t>Performance Society</w:t>
      </w:r>
      <w:r w:rsidRPr="00E442B1">
        <w:rPr>
          <w:rFonts w:ascii="Arial" w:eastAsia="Times New Roman" w:hAnsi="Arial" w:cs="Arial"/>
          <w:color w:val="202122"/>
          <w:sz w:val="18"/>
          <w:szCs w:val="18"/>
          <w:shd w:val="clear" w:color="auto" w:fill="FFFFFF"/>
          <w:lang w:eastAsia="en-GB"/>
        </w:rPr>
        <w:t xml:space="preserve">. </w:t>
      </w:r>
      <w:proofErr w:type="spellStart"/>
      <w:r w:rsidRPr="00E442B1">
        <w:rPr>
          <w:rFonts w:ascii="Arial" w:eastAsia="Times New Roman" w:hAnsi="Arial" w:cs="Arial"/>
          <w:color w:val="202122"/>
          <w:sz w:val="18"/>
          <w:szCs w:val="18"/>
          <w:shd w:val="clear" w:color="auto" w:fill="FFFFFF"/>
          <w:lang w:eastAsia="en-GB"/>
        </w:rPr>
        <w:t>Booksfromthefuture</w:t>
      </w:r>
      <w:proofErr w:type="spellEnd"/>
      <w:r w:rsidRPr="00E442B1">
        <w:rPr>
          <w:rFonts w:ascii="Arial" w:eastAsia="Times New Roman" w:hAnsi="Arial" w:cs="Arial"/>
          <w:color w:val="202122"/>
          <w:sz w:val="18"/>
          <w:szCs w:val="18"/>
          <w:shd w:val="clear" w:color="auto" w:fill="FFFFFF"/>
          <w:lang w:eastAsia="en-GB"/>
        </w:rPr>
        <w:t xml:space="preserve"> p.93</w:t>
      </w:r>
      <w:r w:rsidRPr="00E442B1">
        <w:rPr>
          <w:rFonts w:ascii="Arial" w:eastAsia="Times New Roman" w:hAnsi="Arial" w:cs="Arial"/>
          <w:color w:val="202122"/>
          <w:sz w:val="18"/>
          <w:szCs w:val="18"/>
          <w:shd w:val="clear" w:color="auto" w:fill="FFFFFF"/>
          <w:lang w:eastAsia="en-GB"/>
        </w:rPr>
        <w:br/>
      </w:r>
    </w:p>
  </w:footnote>
  <w:footnote w:id="10">
    <w:p w14:paraId="220D7D5E" w14:textId="77777777" w:rsidR="00E442B1" w:rsidRPr="00E442B1" w:rsidRDefault="00E442B1" w:rsidP="00E442B1">
      <w:pPr>
        <w:rPr>
          <w:rFonts w:ascii="Arial" w:hAnsi="Arial" w:cs="Arial"/>
          <w:b/>
          <w:bCs/>
          <w:color w:val="101010"/>
          <w:sz w:val="18"/>
          <w:szCs w:val="18"/>
        </w:rPr>
      </w:pPr>
      <w:r w:rsidRPr="00E442B1">
        <w:rPr>
          <w:rStyle w:val="FootnoteReference"/>
          <w:rFonts w:ascii="Arial" w:hAnsi="Arial" w:cs="Arial"/>
          <w:color w:val="000000" w:themeColor="text1"/>
          <w:sz w:val="18"/>
          <w:szCs w:val="18"/>
        </w:rPr>
        <w:footnoteRef/>
      </w:r>
      <w:r w:rsidRPr="00E442B1">
        <w:rPr>
          <w:rFonts w:ascii="Arial" w:hAnsi="Arial" w:cs="Arial"/>
          <w:color w:val="000000" w:themeColor="text1"/>
          <w:sz w:val="18"/>
          <w:szCs w:val="18"/>
        </w:rPr>
        <w:t xml:space="preserve"> Kennedy, G &amp; Welch, E (2019) </w:t>
      </w:r>
      <w:r w:rsidRPr="00E442B1">
        <w:rPr>
          <w:rFonts w:ascii="Arial" w:hAnsi="Arial" w:cs="Arial"/>
          <w:i/>
          <w:iCs/>
          <w:color w:val="000000" w:themeColor="text1"/>
          <w:sz w:val="18"/>
          <w:szCs w:val="18"/>
        </w:rPr>
        <w:t>QAA Subject Benchmarking Statement – Art and Design</w:t>
      </w:r>
      <w:r w:rsidRPr="00E442B1">
        <w:rPr>
          <w:rFonts w:ascii="Arial" w:hAnsi="Arial" w:cs="Arial"/>
          <w:color w:val="000000" w:themeColor="text1"/>
          <w:sz w:val="18"/>
          <w:szCs w:val="18"/>
        </w:rPr>
        <w:t xml:space="preserve">. p.6. &lt;https://www.qaa.ac.uk/docs/qaa/subject-benchmark-statements/sbs-art-and-design-17.pdf?sfvrsn=71eef781_16&gt; Accessed April 2024 </w:t>
      </w:r>
    </w:p>
    <w:p w14:paraId="7A8F4A00" w14:textId="77777777" w:rsidR="00E442B1" w:rsidRPr="00E442B1" w:rsidRDefault="00E442B1" w:rsidP="00E442B1">
      <w:pPr>
        <w:pStyle w:val="FootnoteText"/>
        <w:rPr>
          <w:rFonts w:ascii="Arial" w:hAnsi="Arial" w:cs="Arial"/>
          <w:color w:val="000000" w:themeColor="text1"/>
          <w:sz w:val="18"/>
          <w:szCs w:val="18"/>
        </w:rPr>
      </w:pPr>
    </w:p>
  </w:footnote>
  <w:footnote w:id="11">
    <w:p w14:paraId="354F3D7F" w14:textId="3389F67A" w:rsidR="00E442B1" w:rsidRPr="00E442B1" w:rsidRDefault="00E442B1">
      <w:pPr>
        <w:pStyle w:val="FootnoteText"/>
        <w:rPr>
          <w:rFonts w:ascii="Arial" w:hAnsi="Arial" w:cs="Arial"/>
          <w:sz w:val="18"/>
          <w:szCs w:val="18"/>
        </w:rPr>
      </w:pPr>
      <w:r w:rsidRPr="00E442B1">
        <w:rPr>
          <w:rStyle w:val="FootnoteReference"/>
          <w:rFonts w:ascii="Arial" w:hAnsi="Arial" w:cs="Arial"/>
          <w:sz w:val="18"/>
          <w:szCs w:val="18"/>
        </w:rPr>
        <w:footnoteRef/>
      </w:r>
      <w:r w:rsidRPr="00E442B1">
        <w:rPr>
          <w:rFonts w:ascii="Arial" w:hAnsi="Arial" w:cs="Arial"/>
          <w:sz w:val="18"/>
          <w:szCs w:val="18"/>
        </w:rPr>
        <w:t xml:space="preserve"> </w:t>
      </w:r>
      <w:proofErr w:type="spellStart"/>
      <w:r w:rsidRPr="00E442B1">
        <w:rPr>
          <w:rFonts w:ascii="Arial" w:hAnsi="Arial" w:cs="Arial"/>
          <w:sz w:val="18"/>
          <w:szCs w:val="18"/>
        </w:rPr>
        <w:t>AdvanceHE</w:t>
      </w:r>
      <w:proofErr w:type="spellEnd"/>
      <w:r w:rsidRPr="00E442B1">
        <w:rPr>
          <w:rFonts w:ascii="Arial" w:hAnsi="Arial" w:cs="Arial"/>
          <w:sz w:val="18"/>
          <w:szCs w:val="18"/>
        </w:rPr>
        <w:t xml:space="preserve"> (2024) Profile: </w:t>
      </w:r>
      <w:r w:rsidRPr="00E442B1">
        <w:rPr>
          <w:rFonts w:ascii="Arial" w:hAnsi="Arial" w:cs="Arial"/>
          <w:i/>
          <w:iCs/>
          <w:sz w:val="18"/>
          <w:szCs w:val="18"/>
        </w:rPr>
        <w:t>Professor Bruce Macfarlane</w:t>
      </w:r>
      <w:r w:rsidRPr="00E442B1">
        <w:rPr>
          <w:rFonts w:ascii="Arial" w:hAnsi="Arial" w:cs="Arial"/>
          <w:sz w:val="18"/>
          <w:szCs w:val="18"/>
        </w:rPr>
        <w:t xml:space="preserve"> &lt;https://www.advance-he.ac.uk/profile/professor-bruce-macfarlane&gt; Accessed April 2024</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28B0FF3"/>
    <w:multiLevelType w:val="hybridMultilevel"/>
    <w:tmpl w:val="2BE2F898"/>
    <w:lvl w:ilvl="0" w:tplc="CA907028">
      <w:start w:val="2"/>
      <w:numFmt w:val="bullet"/>
      <w:lvlText w:val="—"/>
      <w:lvlJc w:val="left"/>
      <w:pPr>
        <w:ind w:left="720" w:hanging="360"/>
      </w:pPr>
      <w:rPr>
        <w:rFonts w:ascii="Arial" w:eastAsia="Times New Roman" w:hAnsi="Arial" w:cs="Arial" w:hint="default"/>
        <w:color w:val="202122"/>
        <w:sz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2"/>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70EE"/>
    <w:rsid w:val="00422B9D"/>
    <w:rsid w:val="004E4606"/>
    <w:rsid w:val="00C870EE"/>
    <w:rsid w:val="00E442B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ecimalSymbol w:val="."/>
  <w:listSeparator w:val=","/>
  <w14:docId w14:val="342B2507"/>
  <w15:chartTrackingRefBased/>
  <w15:docId w15:val="{D966FACA-7FF1-7346-93BD-AA691E949E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870E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rsid w:val="00C870EE"/>
    <w:rPr>
      <w:sz w:val="20"/>
      <w:szCs w:val="20"/>
    </w:rPr>
  </w:style>
  <w:style w:type="character" w:customStyle="1" w:styleId="FootnoteTextChar">
    <w:name w:val="Footnote Text Char"/>
    <w:basedOn w:val="DefaultParagraphFont"/>
    <w:link w:val="FootnoteText"/>
    <w:uiPriority w:val="99"/>
    <w:rsid w:val="00C870EE"/>
    <w:rPr>
      <w:sz w:val="20"/>
      <w:szCs w:val="20"/>
    </w:rPr>
  </w:style>
  <w:style w:type="character" w:styleId="FootnoteReference">
    <w:name w:val="footnote reference"/>
    <w:basedOn w:val="DefaultParagraphFont"/>
    <w:uiPriority w:val="99"/>
    <w:semiHidden/>
    <w:unhideWhenUsed/>
    <w:rsid w:val="00C870EE"/>
    <w:rPr>
      <w:vertAlign w:val="superscript"/>
    </w:rPr>
  </w:style>
  <w:style w:type="character" w:styleId="Hyperlink">
    <w:name w:val="Hyperlink"/>
    <w:basedOn w:val="DefaultParagraphFont"/>
    <w:uiPriority w:val="99"/>
    <w:unhideWhenUsed/>
    <w:rsid w:val="00E442B1"/>
    <w:rPr>
      <w:color w:val="0563C1" w:themeColor="hyperlink"/>
      <w:u w:val="single"/>
    </w:rPr>
  </w:style>
  <w:style w:type="character" w:styleId="UnresolvedMention">
    <w:name w:val="Unresolved Mention"/>
    <w:basedOn w:val="DefaultParagraphFont"/>
    <w:uiPriority w:val="99"/>
    <w:semiHidden/>
    <w:unhideWhenUsed/>
    <w:rsid w:val="00E442B1"/>
    <w:rPr>
      <w:color w:val="605E5C"/>
      <w:shd w:val="clear" w:color="auto" w:fill="E1DFDD"/>
    </w:rPr>
  </w:style>
  <w:style w:type="paragraph" w:styleId="ListParagraph">
    <w:name w:val="List Paragraph"/>
    <w:basedOn w:val="Normal"/>
    <w:uiPriority w:val="34"/>
    <w:qFormat/>
    <w:rsid w:val="00E442B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6609732">
      <w:bodyDiv w:val="1"/>
      <w:marLeft w:val="0"/>
      <w:marRight w:val="0"/>
      <w:marTop w:val="0"/>
      <w:marBottom w:val="0"/>
      <w:divBdr>
        <w:top w:val="none" w:sz="0" w:space="0" w:color="auto"/>
        <w:left w:val="none" w:sz="0" w:space="0" w:color="auto"/>
        <w:bottom w:val="none" w:sz="0" w:space="0" w:color="auto"/>
        <w:right w:val="none" w:sz="0" w:space="0" w:color="auto"/>
      </w:divBdr>
    </w:div>
    <w:div w:id="1610162930">
      <w:bodyDiv w:val="1"/>
      <w:marLeft w:val="0"/>
      <w:marRight w:val="0"/>
      <w:marTop w:val="0"/>
      <w:marBottom w:val="0"/>
      <w:divBdr>
        <w:top w:val="none" w:sz="0" w:space="0" w:color="auto"/>
        <w:left w:val="none" w:sz="0" w:space="0" w:color="auto"/>
        <w:bottom w:val="none" w:sz="0" w:space="0" w:color="auto"/>
        <w:right w:val="none" w:sz="0" w:space="0" w:color="auto"/>
      </w:divBdr>
    </w:div>
    <w:div w:id="1699890501">
      <w:bodyDiv w:val="1"/>
      <w:marLeft w:val="0"/>
      <w:marRight w:val="0"/>
      <w:marTop w:val="0"/>
      <w:marBottom w:val="0"/>
      <w:divBdr>
        <w:top w:val="none" w:sz="0" w:space="0" w:color="auto"/>
        <w:left w:val="none" w:sz="0" w:space="0" w:color="auto"/>
        <w:bottom w:val="none" w:sz="0" w:space="0" w:color="auto"/>
        <w:right w:val="none" w:sz="0" w:space="0" w:color="auto"/>
      </w:divBdr>
    </w:div>
    <w:div w:id="20291382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seansturm.files.wordpress.com/2012/09/john-cage-lecture-on-nothing.pdf" TargetMode="Externa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129</TotalTime>
  <Pages>4</Pages>
  <Words>1342</Words>
  <Characters>7535</Characters>
  <Application>Microsoft Office Word</Application>
  <DocSecurity>0</DocSecurity>
  <Lines>142</Lines>
  <Paragraphs>36</Paragraphs>
  <ScaleCrop>false</ScaleCrop>
  <Company/>
  <LinksUpToDate>false</LinksUpToDate>
  <CharactersWithSpaces>8841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Eilis Searson</dc:creator>
  <cp:keywords/>
  <dc:description/>
  <cp:lastModifiedBy>Eilis Searson</cp:lastModifiedBy>
  <cp:revision>3</cp:revision>
  <dcterms:created xsi:type="dcterms:W3CDTF">2024-04-02T18:10:00Z</dcterms:created>
  <dcterms:modified xsi:type="dcterms:W3CDTF">2024-04-03T09:33:00Z</dcterms:modified>
</cp:coreProperties>
</file>